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b/>
          <w:b/>
          <w:sz w:val="32"/>
          <w:szCs w:val="32"/>
        </w:rPr>
      </w:pPr>
      <w:r>
        <w:rPr>
          <w:rFonts w:cs="Times New Roman" w:ascii="Times New Roman" w:hAnsi="Times New Roman"/>
          <w:b/>
          <w:sz w:val="32"/>
          <w:szCs w:val="32"/>
        </w:rPr>
        <w:t>ПРОЕКТ</w:t>
      </w:r>
    </w:p>
    <w:p>
      <w:pPr>
        <w:pStyle w:val="Normal"/>
        <w:spacing w:lineRule="auto" w:line="240" w:before="0" w:after="0"/>
        <w:jc w:val="right"/>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Приложение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постановлению администрации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ЗАТО г. Радужный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Владимирской области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___________ № 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Приложение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постановлению администрации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ЗАТО г. Радужный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Владимирской области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12.10.2016 № 1587</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редакции от 12.08.2022 № 1044)</w:t>
      </w:r>
    </w:p>
    <w:p>
      <w:pPr>
        <w:pStyle w:val="Normal"/>
        <w:spacing w:lineRule="auto" w:line="240" w:before="0" w:after="0"/>
        <w:jc w:val="right"/>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bCs/>
          <w:sz w:val="36"/>
          <w:szCs w:val="36"/>
        </w:rPr>
      </w:pPr>
      <w:r>
        <w:rPr>
          <w:rFonts w:cs="Times New Roman" w:ascii="Times New Roman" w:hAnsi="Times New Roman"/>
          <w:b/>
          <w:bCs/>
          <w:sz w:val="36"/>
          <w:szCs w:val="36"/>
        </w:rPr>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МУНИЦИПАЛЬНАЯ ПРОГРАММА</w:t>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«Жилищно-коммунальный комплекс на территории</w:t>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ЗАТО г. Радужный Владимирской области»</w:t>
      </w:r>
    </w:p>
    <w:p>
      <w:pPr>
        <w:pStyle w:val="Normal"/>
        <w:rPr>
          <w:rFonts w:ascii="Times New Roman" w:hAnsi="Times New Roman" w:cs="Times New Roman"/>
          <w:b/>
          <w:b/>
          <w:bCs/>
          <w:sz w:val="36"/>
          <w:szCs w:val="36"/>
        </w:rPr>
      </w:pPr>
      <w:r>
        <w:rPr>
          <w:rFonts w:cs="Times New Roman" w:ascii="Times New Roman" w:hAnsi="Times New Roman"/>
          <w:b/>
          <w:bCs/>
          <w:sz w:val="36"/>
          <w:szCs w:val="36"/>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spacing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before="0" w:after="0"/>
        <w:jc w:val="center"/>
        <w:rPr>
          <w:rFonts w:ascii="Times New Roman" w:hAnsi="Times New Roman" w:cs="Times New Roman"/>
          <w:sz w:val="32"/>
          <w:szCs w:val="32"/>
        </w:rPr>
      </w:pPr>
      <w:r>
        <w:rPr>
          <w:rFonts w:cs="Times New Roman" w:ascii="Times New Roman" w:hAnsi="Times New Roman"/>
          <w:sz w:val="32"/>
          <w:szCs w:val="32"/>
        </w:rPr>
        <w:t>ЗАТО г. Радужный</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Паспорт муниципальной программы</w:t>
      </w:r>
    </w:p>
    <w:tbl>
      <w:tblPr>
        <w:tblpPr w:bottomFromText="0" w:horzAnchor="margin" w:leftFromText="180" w:rightFromText="180" w:tblpX="0" w:tblpXSpec="center" w:tblpY="898" w:topFromText="0" w:vertAnchor="text"/>
        <w:tblW w:w="9535" w:type="dxa"/>
        <w:jc w:val="center"/>
        <w:tblInd w:w="0" w:type="dxa"/>
        <w:tblLayout w:type="fixed"/>
        <w:tblCellMar>
          <w:top w:w="62" w:type="dxa"/>
          <w:left w:w="102" w:type="dxa"/>
          <w:bottom w:w="102" w:type="dxa"/>
          <w:right w:w="62" w:type="dxa"/>
        </w:tblCellMar>
        <w:tblLook w:firstRow="0" w:noVBand="0" w:lastRow="0" w:firstColumn="0" w:lastColumn="0" w:noHBand="0" w:val="0000"/>
      </w:tblPr>
      <w:tblGrid>
        <w:gridCol w:w="2551"/>
        <w:gridCol w:w="6983"/>
      </w:tblGrid>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Наименование  муниципальной  программы </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«Жилищно-коммунальный комплекс на территории ЗАТО г. Радужный Владимирской области» (далее по тексту – Программа)</w:t>
            </w:r>
          </w:p>
        </w:tc>
      </w:tr>
      <w:tr>
        <w:trPr>
          <w:trHeight w:val="1346"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Ответственный исполнитель программы</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Муниципальное казенное учреждение «Городской комитет муниципального хозяйства ЗАТО г. Радужный Владимирской области» (далее по тексту - МКУ «ГКМХ»)                         </w:t>
            </w:r>
          </w:p>
        </w:tc>
      </w:tr>
      <w:tr>
        <w:trPr>
          <w:trHeight w:val="4062"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Подпрограммы программы</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1.Подпрограмма «Развитие жилищно-коммунального комплекса на территории ЗАТО г. Радужный Владимирской области»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Подпрограмма «Ведомственная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 Подпрограмма «Финансовое оздоровление муниципальных унитарных предприятий, учредителем которых является администрация ЗАТО г. Радужный Владимирской области» </w:t>
            </w:r>
          </w:p>
        </w:tc>
      </w:tr>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Цели программы</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Осуществление строительного контроля  в полном соответствии с требованиями действующего законодательства</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 (далее - МУП)</w:t>
            </w:r>
          </w:p>
        </w:tc>
      </w:tr>
      <w:tr>
        <w:trPr>
          <w:trHeight w:val="773"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Задачи программы</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модернизация объектов коммунальной инфраструктуры   муниципального образования;</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снижение тарифной нагрузки для населения,</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создание условий для снижения издержек и повышения  качества предоставляемых жилищно-коммунальных услуг </w:t>
            </w:r>
          </w:p>
          <w:p>
            <w:pPr>
              <w:pStyle w:val="Normal"/>
              <w:widowControl w:val="false"/>
              <w:spacing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Разработка поэтапных действий:</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w:t>
            </w:r>
            <w:r>
              <w:rPr>
                <w:rFonts w:cs="Times New Roman" w:ascii="Times New Roman" w:hAnsi="Times New Roman"/>
                <w:color w:val="000000"/>
                <w:sz w:val="28"/>
                <w:szCs w:val="28"/>
                <w:shd w:fill="FFFFFF" w:val="clear"/>
              </w:rPr>
              <w:t xml:space="preserve"> ЗАТО г. Радужный,</w:t>
            </w:r>
            <w:r>
              <w:rPr>
                <w:rFonts w:cs="Times New Roman" w:ascii="Times New Roman" w:hAnsi="Times New Roman"/>
                <w:sz w:val="28"/>
                <w:szCs w:val="28"/>
              </w:rPr>
              <w:t xml:space="preserve"> </w:t>
            </w:r>
          </w:p>
          <w:p>
            <w:pPr>
              <w:pStyle w:val="Normal"/>
              <w:widowControl w:val="false"/>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sz w:val="28"/>
                <w:szCs w:val="28"/>
              </w:rPr>
              <w:t>-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tc>
      </w:tr>
      <w:tr>
        <w:trPr>
          <w:trHeight w:val="672"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 программы</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Доступность для потребителей товаров и услуг организаций коммунального комплекса.</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Количество заключенных  МКУ «ГКМХ» договоров, соглашений на осуществление строительного контроля с организациями, учреждениями</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w:t>
            </w:r>
            <w:r>
              <w:rPr>
                <w:rFonts w:eastAsia="Times New Roman" w:cs="Times New Roman" w:ascii="Times New Roman" w:hAnsi="Times New Roman"/>
                <w:sz w:val="28"/>
                <w:szCs w:val="28"/>
                <w:lang w:eastAsia="ru-RU"/>
              </w:rPr>
              <w:t>нижение кредиторской и  дебиторской задолженности МУП</w:t>
            </w:r>
            <w:r>
              <w:rPr>
                <w:rFonts w:cs="Times New Roman" w:ascii="Times New Roman" w:hAnsi="Times New Roman"/>
                <w:sz w:val="28"/>
                <w:szCs w:val="28"/>
                <w:lang w:eastAsia="zh-CN"/>
              </w:rPr>
              <w:t xml:space="preserve"> </w:t>
            </w:r>
            <w:r>
              <w:rPr>
                <w:rFonts w:cs="Times New Roman" w:ascii="Times New Roman" w:hAnsi="Times New Roman"/>
                <w:color w:val="000000"/>
                <w:sz w:val="28"/>
                <w:szCs w:val="28"/>
                <w:shd w:fill="FFFFFF" w:val="clear"/>
              </w:rPr>
              <w:t xml:space="preserve"> ЗАТО г. Радужный</w:t>
            </w:r>
          </w:p>
        </w:tc>
      </w:tr>
      <w:tr>
        <w:trPr>
          <w:trHeight w:val="1387"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Этапы и сроки реализации программы</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2017-2025  годы, в том числе: 1 этап – 2017 год, 2 этап – 2018 год, 3 этап – 2019 год, 4 этап – 2020 год, 5 этап – 2021 год, 6 этап – 2022 год, 7 этап – 2023 год, 8 этап – 2024 год, 9 этап - 2025 год. </w:t>
            </w:r>
          </w:p>
        </w:tc>
      </w:tr>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программы, в том числе по годам </w:t>
            </w:r>
          </w:p>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программы,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373 912,55328 тыс. руб., в том числе по годам:</w:t>
            </w:r>
          </w:p>
          <w:p>
            <w:pPr>
              <w:pStyle w:val="Normal"/>
              <w:widowControl w:val="false"/>
              <w:tabs>
                <w:tab w:val="clear" w:pos="708"/>
                <w:tab w:val="left" w:pos="74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2017 год – 41 190,83647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2018 год –39 621,41262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2019 год –46 671,75601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2020 год –43 693,85036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2021 год – 41 625,47205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2022 год – 50 909,17148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2023 год – 38 671,04543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год -  35 764,50443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2025 год -  35 764,50443 тыс. руб.</w:t>
            </w:r>
          </w:p>
        </w:tc>
      </w:tr>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Ожидаемые результаты реализации программы</w:t>
            </w:r>
          </w:p>
        </w:tc>
        <w:tc>
          <w:tcPr>
            <w:tcW w:w="6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Устойчивое и надежное функционирование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tc>
      </w:tr>
    </w:tbl>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 xml:space="preserve"> </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1.Характеристика проблемы и обоснование необходимости решения ее программными методами</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Особенности жилищно-коммунального комплекса обусловлены его социальной и экономической  значимостью, а также сложной системой взаимосвязей хозяйствующих субъектов и потребителей услуг, в первую очередь населения.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Социальная значимость жилищно-коммунального комплекса состоит  в создании необходимых условий для комфортного и безопасного проживания граждан на территории города.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Экономическая значимость жилищно-коммунального комплекса определяется постоянным потребительским спросом на работы  и услуги и высоким потенциалом для развития частного бизнеса.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Жилищно-коммунальный комплекс представляет собой сложную систему социально-экономических отношений, интересов и взаимодействий органов государственной власти и местного самоуправления, предприятий и организаций, бизнеса и  населения, как потребителя жилищно-коммунальных услуг.</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Жилищно-коммунальный  комплекс включает в себя широкий круг деятельности по управлению многоотраслевым муниципальным хозяйством  </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Основную цель функционирования жилищно-коммунального комплекса можно сформулировать, как обеспечение эффективного  механизма,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Главная задача сферы ЖКХ состоит в том, чтобы все жители независимо от уровня дохода были обеспечены качественными услугами. Качество, объем, номенклатура оказываемых услуг должны соответствовать существующим социальным нормативам и стандартам. Показатели качества должны учитываться  при оценке деятельности предприятия ЖКХ.</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Основной проблемой в жилищно-коммунальном хозяйстве является высокий процент износа объектов коммунальной инфраструктуры. Реализация мероприятий программы позволит снизить уровень износа объектов коммунальной инфраструктуры,  повысить</w:t>
        <w:br/>
        <w:t>качество предоставляемых коммунальных услуг.</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На решение проблемы капитального ремонта многоквартирных домов направлено выполнение Федерального </w:t>
      </w:r>
      <w:hyperlink r:id="rId2">
        <w:r>
          <w:rPr>
            <w:rFonts w:cs="Times New Roman" w:ascii="Times New Roman" w:hAnsi="Times New Roman"/>
            <w:color w:val="0000FF"/>
            <w:sz w:val="28"/>
            <w:szCs w:val="28"/>
          </w:rPr>
          <w:t>закона</w:t>
        </w:r>
      </w:hyperlink>
      <w:r>
        <w:rPr>
          <w:rFonts w:cs="Times New Roman" w:ascii="Times New Roman" w:hAnsi="Times New Roman"/>
          <w:sz w:val="28"/>
          <w:szCs w:val="28"/>
        </w:rPr>
        <w:t xml:space="preserve"> от 21.07.2007 № 185-ФЗ «О Фонде содействия реформированию жилищно-коммунального хозяйства», в соответствии с которым разработана региональная программа  капитального ремонта  на период с 2014 по 2043 годы, </w:t>
      </w:r>
      <w:r>
        <w:rPr>
          <w:rFonts w:cs="Times New Roman" w:ascii="Times New Roman" w:hAnsi="Times New Roman"/>
          <w:color w:val="000000"/>
          <w:sz w:val="28"/>
          <w:szCs w:val="28"/>
        </w:rPr>
        <w:t>утвержденная постановлением Губернатора Владимирской области от 30.12.2013 № 1502 «Об утверждении региональной программы капитального ремонта на период с 2014 по 2043 годы».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дальнейшего улучшения качества жизни населения, комплексного развития систем коммунальной инфраструктуры, снижения необоснованных затрат за счет принятия инвестиционных программ организаций коммунального комплекса, снижения нагрузки на потребителей и разработана настоящая программа.</w:t>
      </w:r>
    </w:p>
    <w:p>
      <w:pPr>
        <w:pStyle w:val="Normal"/>
        <w:numPr>
          <w:ilvl w:val="0"/>
          <w:numId w:val="0"/>
        </w:numPr>
        <w:spacing w:lineRule="auto" w:line="240" w:before="0" w:after="0"/>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2.Основные цели, задачи  и показатели (индикаторы) их достижения, основные ожидаемые конечные результаты программы, сроки и этапы ее реализации</w:t>
      </w:r>
    </w:p>
    <w:p>
      <w:pPr>
        <w:pStyle w:val="Normal"/>
        <w:numPr>
          <w:ilvl w:val="0"/>
          <w:numId w:val="0"/>
        </w:numPr>
        <w:spacing w:lineRule="auto" w:line="240" w:before="0" w:after="0"/>
        <w:ind w:left="720" w:hanging="0"/>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Основные цели программы:</w:t>
      </w:r>
    </w:p>
    <w:p>
      <w:pPr>
        <w:pStyle w:val="Normal"/>
        <w:widowControl w:val="false"/>
        <w:spacing w:lineRule="auto" w:line="24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Основные задачи программы: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модернизация объектов коммунальной инфраструктуры   муниципального образования;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снижение тарифной нагрузки для населения;  </w:t>
      </w:r>
    </w:p>
    <w:p>
      <w:pPr>
        <w:pStyle w:val="Normal"/>
        <w:widowControl w:val="false"/>
        <w:spacing w:lineRule="auto" w:line="240" w:before="0" w:after="0"/>
        <w:ind w:firstLine="540"/>
        <w:rPr>
          <w:rFonts w:ascii="Times New Roman" w:hAnsi="Times New Roman" w:cs="Times New Roman"/>
          <w:sz w:val="28"/>
          <w:szCs w:val="28"/>
        </w:rPr>
      </w:pPr>
      <w:r>
        <w:rPr>
          <w:rFonts w:cs="Times New Roman" w:ascii="Times New Roman" w:hAnsi="Times New Roman"/>
          <w:sz w:val="28"/>
          <w:szCs w:val="28"/>
        </w:rPr>
        <w:t xml:space="preserve">- создание условий для снижения издержек и повышения  качества предоставляемых жилищно-коммунальных услуг;   </w:t>
      </w:r>
    </w:p>
    <w:p>
      <w:pPr>
        <w:pStyle w:val="Normal"/>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widowControl w:val="false"/>
        <w:spacing w:lineRule="auto" w:line="240"/>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 Разработка поэтапных действий: </w:t>
      </w:r>
    </w:p>
    <w:p>
      <w:pPr>
        <w:pStyle w:val="Normal"/>
        <w:widowControl w:val="false"/>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w:t>
      </w:r>
      <w:r>
        <w:rPr>
          <w:rFonts w:cs="Times New Roman" w:ascii="Times New Roman" w:hAnsi="Times New Roman"/>
          <w:color w:val="000000"/>
          <w:sz w:val="28"/>
          <w:szCs w:val="28"/>
          <w:shd w:fill="FFFFFF" w:val="clear"/>
        </w:rPr>
        <w:t xml:space="preserve"> ЗАТО г. Радужный,</w:t>
      </w:r>
      <w:r>
        <w:rPr>
          <w:rFonts w:cs="Times New Roman" w:ascii="Times New Roman" w:hAnsi="Times New Roman"/>
          <w:sz w:val="28"/>
          <w:szCs w:val="28"/>
        </w:rPr>
        <w:t xml:space="preserve"> </w:t>
      </w:r>
    </w:p>
    <w:p>
      <w:pPr>
        <w:pStyle w:val="Normal"/>
        <w:widowControl w:val="false"/>
        <w:spacing w:lineRule="auto" w:line="240"/>
        <w:jc w:val="both"/>
        <w:rPr>
          <w:rFonts w:ascii="Times New Roman" w:hAnsi="Times New Roman" w:cs="Times New Roman"/>
          <w:color w:val="000000"/>
          <w:sz w:val="28"/>
          <w:szCs w:val="28"/>
          <w:shd w:fill="FFFFFF" w:val="clear"/>
        </w:rPr>
      </w:pPr>
      <w:r>
        <w:rPr>
          <w:rFonts w:cs="Times New Roman" w:ascii="Times New Roman" w:hAnsi="Times New Roman"/>
          <w:sz w:val="28"/>
          <w:szCs w:val="28"/>
        </w:rPr>
        <w:t>-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w:t>
      </w:r>
    </w:p>
    <w:p>
      <w:pPr>
        <w:pStyle w:val="Normal"/>
        <w:widowControl w:val="false"/>
        <w:spacing w:lineRule="auto" w:line="240"/>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Исходя из анализа существующего положения дел в жилищно-коммунальном комплексе ЗАТО г. Радужный Владимирской области и целей настоящей программы предусматриваются основные направления ее реализации: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содействие комплексному развитию систем коммунальной инфраструктуры ЗАТО г. Радужный Владимирской области;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города: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обеспечение эффективного  механизма функционирования жилищно-коммунального комплекса,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Целевые показатели (индикаторы), критерии оценки программы:   </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 доступность для   потребителей товаров и услуг организаций коммунального комплекса;</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 отсутствие просроченной кредиторской задолженности МУП ЗАТО г. Радужный.</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Более детально целевые показатели (индикаторы) определены в разделе 2. «Основные цели, задачи и показатели (индикаторы) их достижения, основные ожидаемые конечные результаты подпрограммы, сроки и этапы ее реализации» подпрограмм.</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Сроки реализации программы 2017-2025 годы: 1 этап – 2017 год,  2 этап – 2018 год, 3 этап – 2019 год, 4 этап -2020 год, 5 этап – 2021 год, 6 этап – 2022 год, 7  этап – 2023 год, 8 этап -2024 год, 9 этап – 2025 год .</w:t>
      </w:r>
    </w:p>
    <w:p>
      <w:pPr>
        <w:sectPr>
          <w:headerReference w:type="default" r:id="rId3"/>
          <w:headerReference w:type="first" r:id="rId4"/>
          <w:footerReference w:type="default" r:id="rId5"/>
          <w:footerReference w:type="first" r:id="rId6"/>
          <w:type w:val="nextPage"/>
          <w:pgSz w:w="11906" w:h="16838"/>
          <w:pgMar w:left="1418" w:right="851" w:header="709" w:top="766" w:footer="709" w:bottom="766" w:gutter="0"/>
          <w:pgNumType w:fmt="decimal"/>
          <w:formProt w:val="false"/>
          <w:titlePg/>
          <w:textDirection w:val="lrTb"/>
          <w:docGrid w:type="default" w:linePitch="360" w:charSpace="0"/>
        </w:sect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outlineLvl w:val="1"/>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3. Ресурсное обеспечение реализации программы</w:t>
      </w:r>
    </w:p>
    <w:tbl>
      <w:tblPr>
        <w:tblW w:w="16173" w:type="dxa"/>
        <w:jc w:val="left"/>
        <w:tblInd w:w="95" w:type="dxa"/>
        <w:tblLayout w:type="fixed"/>
        <w:tblCellMar>
          <w:top w:w="0" w:type="dxa"/>
          <w:left w:w="108" w:type="dxa"/>
          <w:bottom w:w="0" w:type="dxa"/>
          <w:right w:w="108" w:type="dxa"/>
        </w:tblCellMar>
        <w:tblLook w:firstRow="1" w:noVBand="1" w:lastRow="0" w:firstColumn="1" w:lastColumn="0" w:noHBand="0" w:val="04a0"/>
      </w:tblPr>
      <w:tblGrid>
        <w:gridCol w:w="585"/>
        <w:gridCol w:w="4247"/>
        <w:gridCol w:w="1559"/>
        <w:gridCol w:w="2018"/>
        <w:gridCol w:w="1259"/>
        <w:gridCol w:w="1758"/>
        <w:gridCol w:w="1965"/>
        <w:gridCol w:w="1080"/>
        <w:gridCol w:w="1700"/>
      </w:tblGrid>
      <w:tr>
        <w:trPr>
          <w:trHeight w:val="481" w:hRule="atLeast"/>
        </w:trPr>
        <w:tc>
          <w:tcPr>
            <w:tcW w:w="5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 xml:space="preserve">№ </w:t>
            </w:r>
            <w:r>
              <w:rPr>
                <w:rFonts w:eastAsia="Times New Roman" w:cs="Times New Roman" w:ascii="Times New Roman" w:hAnsi="Times New Roman"/>
                <w:color w:val="000000"/>
                <w:sz w:val="18"/>
                <w:szCs w:val="18"/>
                <w:lang w:eastAsia="ru-RU"/>
              </w:rPr>
              <w:t>п/п</w:t>
            </w:r>
          </w:p>
        </w:tc>
        <w:tc>
          <w:tcPr>
            <w:tcW w:w="424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Срок  исполнения (год)</w:t>
            </w:r>
          </w:p>
        </w:tc>
        <w:tc>
          <w:tcPr>
            <w:tcW w:w="20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Объем финансирования,     (тыс. руб.)</w:t>
            </w:r>
          </w:p>
        </w:tc>
        <w:tc>
          <w:tcPr>
            <w:tcW w:w="4982"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w:t>
            </w:r>
          </w:p>
        </w:tc>
        <w:tc>
          <w:tcPr>
            <w:tcW w:w="108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Внебюджетные средства</w:t>
            </w:r>
          </w:p>
        </w:tc>
        <w:tc>
          <w:tcPr>
            <w:tcW w:w="17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Исполнители, соисполнители,  ответственные  за реализацию  программы</w:t>
            </w:r>
          </w:p>
        </w:tc>
      </w:tr>
      <w:tr>
        <w:trPr>
          <w:trHeight w:val="301" w:hRule="atLeast"/>
        </w:trPr>
        <w:tc>
          <w:tcPr>
            <w:tcW w:w="5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c>
          <w:tcPr>
            <w:tcW w:w="4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0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5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Субвенции</w:t>
            </w:r>
          </w:p>
        </w:tc>
        <w:tc>
          <w:tcPr>
            <w:tcW w:w="3723"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Собственных доходов:</w:t>
            </w: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744" w:hRule="atLeast"/>
        </w:trPr>
        <w:tc>
          <w:tcPr>
            <w:tcW w:w="5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c>
          <w:tcPr>
            <w:tcW w:w="4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0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Субсидии, иные межбюджетные, трансферты</w:t>
            </w:r>
          </w:p>
        </w:tc>
        <w:tc>
          <w:tcPr>
            <w:tcW w:w="19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Другие собственные доходы</w:t>
            </w: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1" w:hRule="atLeast"/>
        </w:trPr>
        <w:tc>
          <w:tcPr>
            <w:tcW w:w="58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424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w:t>
            </w:r>
          </w:p>
        </w:tc>
        <w:tc>
          <w:tcPr>
            <w:tcW w:w="201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19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w:t>
            </w:r>
          </w:p>
        </w:tc>
      </w:tr>
      <w:tr>
        <w:trPr>
          <w:trHeight w:val="802" w:hRule="atLeast"/>
        </w:trPr>
        <w:tc>
          <w:tcPr>
            <w:tcW w:w="58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w:t>
            </w:r>
          </w:p>
        </w:tc>
        <w:tc>
          <w:tcPr>
            <w:tcW w:w="424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lang w:eastAsia="ru-RU"/>
              </w:rPr>
              <w:t>Программа «Жилищно-коммунальный комплекс на территории ЗАТО г. Радужный Владимирской области</w:t>
            </w:r>
            <w:r>
              <w:rPr>
                <w:rFonts w:eastAsia="Times New Roman" w:cs="Times New Roman" w:ascii="Times New Roman" w:hAnsi="Times New Roman"/>
                <w:color w:val="000000"/>
                <w:sz w:val="24"/>
                <w:szCs w:val="24"/>
                <w:lang w:eastAsia="ru-RU"/>
              </w:rPr>
              <w:t xml:space="preserve">»  </w:t>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201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9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МКУ ГКМХ</w:t>
            </w:r>
          </w:p>
        </w:tc>
      </w:tr>
      <w:tr>
        <w:trPr>
          <w:trHeight w:val="315" w:hRule="atLeast"/>
        </w:trPr>
        <w:tc>
          <w:tcPr>
            <w:tcW w:w="58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2</w:t>
            </w:r>
          </w:p>
        </w:tc>
        <w:tc>
          <w:tcPr>
            <w:tcW w:w="424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Всего:</w:t>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2017-2025</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373 912,55328</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1615,10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372 297,45328</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23" w:hRule="atLeast"/>
        </w:trPr>
        <w:tc>
          <w:tcPr>
            <w:tcW w:w="585" w:type="dxa"/>
            <w:vMerge w:val="restart"/>
            <w:tcBorders>
              <w:left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3</w:t>
            </w:r>
          </w:p>
        </w:tc>
        <w:tc>
          <w:tcPr>
            <w:tcW w:w="4247" w:type="dxa"/>
            <w:vMerge w:val="restart"/>
            <w:tcBorders>
              <w:left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 том числе по годам:</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41 190,83647</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41 190,83647</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4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2018</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39 621,41262</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39 621,41262</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59"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2019</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46 671,75601</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46 671,75601</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77" w:hRule="atLeast"/>
        </w:trPr>
        <w:tc>
          <w:tcPr>
            <w:tcW w:w="58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c>
          <w:tcPr>
            <w:tcW w:w="4247"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2020</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43 693,85036</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43 693,85036</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81" w:hRule="atLeast"/>
        </w:trPr>
        <w:tc>
          <w:tcPr>
            <w:tcW w:w="58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c>
          <w:tcPr>
            <w:tcW w:w="4247"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41 625,47205</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41 625,47205</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115" w:hRule="atLeast"/>
        </w:trPr>
        <w:tc>
          <w:tcPr>
            <w:tcW w:w="585"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c>
          <w:tcPr>
            <w:tcW w:w="4247" w:type="dxa"/>
            <w:vMerge w:val="continue"/>
            <w:tcBorders>
              <w:left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50 909,17148</w:t>
            </w:r>
          </w:p>
        </w:tc>
        <w:tc>
          <w:tcPr>
            <w:tcW w:w="12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r>
              <w:rPr>
                <w:rFonts w:eastAsia="Times New Roman" w:cs="Times New Roman" w:ascii="Times New Roman" w:hAnsi="Times New Roman"/>
                <w:color w:val="000000"/>
                <w:lang w:eastAsia="ru-RU"/>
              </w:rPr>
              <w:t>1615,10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49 294,07148</w:t>
            </w:r>
          </w:p>
        </w:tc>
        <w:tc>
          <w:tcPr>
            <w:tcW w:w="108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147" w:hRule="atLeast"/>
        </w:trPr>
        <w:tc>
          <w:tcPr>
            <w:tcW w:w="585" w:type="dxa"/>
            <w:vMerge w:val="continue"/>
            <w:tcBorders>
              <w:left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38 671,04543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38 671,04543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7" w:hRule="atLeast"/>
        </w:trPr>
        <w:tc>
          <w:tcPr>
            <w:tcW w:w="585" w:type="dxa"/>
            <w:vMerge w:val="continue"/>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35 754,50443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35 754,50443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7"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35 754,50443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35 754,50443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826"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w:t>
            </w:r>
          </w:p>
        </w:tc>
        <w:tc>
          <w:tcPr>
            <w:tcW w:w="424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lang w:eastAsia="ru-RU"/>
              </w:rPr>
              <w:t>Подпрограмма «Развитие жилищно-коммунального комплекса на территории ЗАТО г. Радужный Владимирской области</w:t>
            </w:r>
            <w:r>
              <w:rPr>
                <w:rFonts w:eastAsia="Times New Roman" w:cs="Times New Roman" w:ascii="Times New Roman" w:hAnsi="Times New Roman"/>
                <w:color w:val="000000"/>
                <w:sz w:val="24"/>
                <w:szCs w:val="24"/>
                <w:lang w:eastAsia="ru-RU"/>
              </w:rPr>
              <w:t>»</w:t>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201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9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МКУ ГКМХ</w:t>
            </w:r>
          </w:p>
        </w:tc>
      </w:tr>
      <w:tr>
        <w:trPr>
          <w:trHeight w:val="226"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w:t>
            </w:r>
          </w:p>
        </w:tc>
        <w:tc>
          <w:tcPr>
            <w:tcW w:w="424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Всего </w:t>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2017-2025</w:t>
            </w:r>
          </w:p>
        </w:tc>
        <w:tc>
          <w:tcPr>
            <w:tcW w:w="20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cs="Times New Roman"/>
                <w:color w:val="000000"/>
                <w:sz w:val="24"/>
                <w:szCs w:val="24"/>
                <w:lang w:eastAsia="ru-RU"/>
              </w:rPr>
            </w:pPr>
            <w:r>
              <w:rPr>
                <w:rFonts w:cs="Times New Roman" w:ascii="Times New Roman" w:hAnsi="Times New Roman"/>
                <w:color w:val="000000"/>
              </w:rPr>
              <w:t>365 382,43643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1615,10</w:t>
            </w:r>
          </w:p>
        </w:tc>
        <w:tc>
          <w:tcPr>
            <w:tcW w:w="19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cs="Times New Roman"/>
                <w:color w:val="000000"/>
                <w:sz w:val="24"/>
                <w:szCs w:val="24"/>
                <w:lang w:eastAsia="ru-RU"/>
              </w:rPr>
            </w:pPr>
            <w:r>
              <w:rPr>
                <w:rFonts w:cs="Times New Roman" w:ascii="Times New Roman" w:hAnsi="Times New Roman"/>
                <w:color w:val="000000"/>
              </w:rPr>
              <w:t>363 767,33643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31" w:hRule="atLeast"/>
        </w:trPr>
        <w:tc>
          <w:tcPr>
            <w:tcW w:w="585" w:type="dxa"/>
            <w:vMerge w:val="restart"/>
            <w:tcBorders>
              <w:left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w:t>
            </w:r>
          </w:p>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restart"/>
            <w:tcBorders>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 по годам:</w:t>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41 188,07843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41 188,07843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34"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2018</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39 621,41262</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39 621,41262</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53"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2019</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46 671,75601</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46 671,75601</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84" w:hRule="atLeast"/>
        </w:trPr>
        <w:tc>
          <w:tcPr>
            <w:tcW w:w="585" w:type="dxa"/>
            <w:vMerge w:val="continue"/>
            <w:tcBorders>
              <w:left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2020</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38 066,49155</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38 066,49155</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119" w:hRule="atLeast"/>
        </w:trPr>
        <w:tc>
          <w:tcPr>
            <w:tcW w:w="585" w:type="dxa"/>
            <w:vMerge w:val="continue"/>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38 725,47205</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0,0 </w:t>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38 725,47205</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150" w:hRule="atLeast"/>
        </w:trPr>
        <w:tc>
          <w:tcPr>
            <w:tcW w:w="585" w:type="dxa"/>
            <w:vMerge w:val="continue"/>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50 909,17148</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1615,10 </w:t>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49 294,07148</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141"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38 671,04543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38 671,04543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62"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35 764,50443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35 764,50443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62"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35 764,50443</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35 764,50443</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774"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w:t>
            </w:r>
          </w:p>
        </w:tc>
        <w:tc>
          <w:tcPr>
            <w:tcW w:w="424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Подпрограмма "Ведомственная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w:t>
            </w:r>
          </w:p>
        </w:tc>
        <w:tc>
          <w:tcPr>
            <w:tcW w:w="15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201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9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МКУ ГКМХ</w:t>
            </w:r>
          </w:p>
        </w:tc>
      </w:tr>
      <w:tr>
        <w:trPr>
          <w:trHeight w:val="354" w:hRule="atLeast"/>
        </w:trPr>
        <w:tc>
          <w:tcPr>
            <w:tcW w:w="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8</w:t>
            </w:r>
          </w:p>
        </w:tc>
        <w:tc>
          <w:tcPr>
            <w:tcW w:w="424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Всего </w:t>
            </w:r>
          </w:p>
        </w:tc>
        <w:tc>
          <w:tcPr>
            <w:tcW w:w="15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2017-2025</w:t>
            </w:r>
          </w:p>
        </w:tc>
        <w:tc>
          <w:tcPr>
            <w:tcW w:w="201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15" w:hRule="atLeast"/>
        </w:trPr>
        <w:tc>
          <w:tcPr>
            <w:tcW w:w="585" w:type="dxa"/>
            <w:vMerge w:val="restart"/>
            <w:tcBorders>
              <w:top w:val="single" w:sz="4" w:space="0" w:color="000000"/>
              <w:left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9</w:t>
            </w:r>
          </w:p>
        </w:tc>
        <w:tc>
          <w:tcPr>
            <w:tcW w:w="4247"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 по годам:</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w:t>
            </w:r>
          </w:p>
        </w:tc>
        <w:tc>
          <w:tcPr>
            <w:tcW w:w="201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15"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2018</w:t>
            </w:r>
          </w:p>
        </w:tc>
        <w:tc>
          <w:tcPr>
            <w:tcW w:w="201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2019</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2020</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color w:val="000000"/>
                <w:lang w:eastAsia="ru-RU"/>
              </w:rPr>
            </w:pPr>
            <w:r>
              <w:rPr>
                <w:rFonts w:eastAsia="Times New Roman" w:cs="Times New Roman" w:ascii="Times New Roman" w:hAnsi="Times New Roman"/>
                <w:color w:val="000000"/>
                <w:lang w:eastAsia="ru-RU"/>
              </w:rPr>
              <w:t>2022</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01" w:hRule="atLeast"/>
        </w:trPr>
        <w:tc>
          <w:tcPr>
            <w:tcW w:w="585"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restart"/>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restart"/>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10</w:t>
            </w:r>
          </w:p>
        </w:tc>
        <w:tc>
          <w:tcPr>
            <w:tcW w:w="4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cs="Times New Roman" w:ascii="Times New Roman" w:hAnsi="Times New Roman"/>
                <w:color w:val="000000"/>
              </w:rPr>
              <w:t xml:space="preserve">Подпрограмма « Финансовое оздоровление муниципальных унитарных предприятий, учредителем которых является администрация ЗАТО г. Радужный Владимирской области»  </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restart"/>
            <w:tcBorders>
              <w:top w:val="single" w:sz="4" w:space="0" w:color="000000"/>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11</w:t>
            </w:r>
          </w:p>
        </w:tc>
        <w:tc>
          <w:tcPr>
            <w:tcW w:w="4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Всего</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2020-2025</w:t>
            </w:r>
          </w:p>
        </w:tc>
        <w:tc>
          <w:tcPr>
            <w:tcW w:w="20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cs="Times New Roman"/>
                <w:color w:val="000000"/>
                <w:sz w:val="24"/>
                <w:szCs w:val="24"/>
                <w:lang w:eastAsia="ru-RU"/>
              </w:rPr>
            </w:pPr>
            <w:r>
              <w:rPr>
                <w:rFonts w:cs="Times New Roman" w:ascii="Times New Roman" w:hAnsi="Times New Roman"/>
                <w:color w:val="000000"/>
              </w:rPr>
              <w:t>8527,35881</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cs="Times New Roman"/>
                <w:color w:val="000000"/>
                <w:sz w:val="24"/>
                <w:szCs w:val="24"/>
                <w:lang w:eastAsia="ru-RU"/>
              </w:rPr>
            </w:pPr>
            <w:r>
              <w:rPr>
                <w:rFonts w:cs="Times New Roman" w:ascii="Times New Roman" w:hAnsi="Times New Roman"/>
                <w:color w:val="000000"/>
              </w:rPr>
              <w:t>8527,35881</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restart"/>
            <w:tcBorders>
              <w:top w:val="single" w:sz="4" w:space="0" w:color="000000"/>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2020</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5627,35881</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5627,35881</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2900,00000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2900,00000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color w:val="000000"/>
                <w:lang w:eastAsia="ru-RU"/>
              </w:rPr>
            </w:pPr>
            <w:r>
              <w:rPr>
                <w:rFonts w:eastAsia="Times New Roman" w:cs="Times New Roman" w:ascii="Times New Roman" w:hAnsi="Times New Roman"/>
                <w:color w:val="000000"/>
                <w:lang w:eastAsia="ru-RU"/>
              </w:rPr>
              <w:t>2022</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c>
          <w:tcPr>
            <w:tcW w:w="17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bl>
    <w:p>
      <w:pPr>
        <w:sectPr>
          <w:headerReference w:type="default" r:id="rId7"/>
          <w:footerReference w:type="default" r:id="rId8"/>
          <w:type w:val="nextPage"/>
          <w:pgSz w:orient="landscape" w:w="16838" w:h="11906"/>
          <w:pgMar w:left="340" w:right="510" w:header="709" w:top="1077" w:footer="709" w:bottom="851" w:gutter="0"/>
          <w:pgNumType w:fmt="decimal"/>
          <w:formProt w:val="false"/>
          <w:textDirection w:val="lrTb"/>
          <w:docGrid w:type="default" w:linePitch="360" w:charSpace="0"/>
        </w:sectPr>
      </w:pP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4. Мероприятия муниципальной программы</w:t>
      </w:r>
    </w:p>
    <w:p>
      <w:pPr>
        <w:pStyle w:val="Normal"/>
        <w:numPr>
          <w:ilvl w:val="0"/>
          <w:numId w:val="0"/>
        </w:numPr>
        <w:spacing w:lineRule="auto"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Перечень мероприятий муниципальной программы представлен в приложениях к подпрограммам.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hanging="0"/>
        <w:jc w:val="center"/>
        <w:outlineLvl w:val="1"/>
        <w:rPr>
          <w:rFonts w:ascii="Times New Roman" w:hAnsi="Times New Roman" w:cs="Times New Roman"/>
          <w:sz w:val="28"/>
          <w:szCs w:val="28"/>
        </w:rPr>
      </w:pPr>
      <w:r>
        <w:rPr>
          <w:rFonts w:cs="Times New Roman" w:ascii="Times New Roman" w:hAnsi="Times New Roman"/>
          <w:sz w:val="28"/>
          <w:szCs w:val="28"/>
        </w:rPr>
      </w:r>
    </w:p>
    <w:p>
      <w:pPr>
        <w:sectPr>
          <w:headerReference w:type="default" r:id="rId9"/>
          <w:footerReference w:type="default" r:id="rId10"/>
          <w:type w:val="nextPage"/>
          <w:pgSz w:w="11906" w:h="16838"/>
          <w:pgMar w:left="1418" w:right="851" w:header="709" w:top="766" w:footer="709" w:bottom="766" w:gutter="0"/>
          <w:pgNumType w:fmt="decimal"/>
          <w:formProt w:val="false"/>
          <w:textDirection w:val="lrTb"/>
          <w:docGrid w:type="default" w:linePitch="360" w:charSpace="0"/>
        </w:sectPr>
      </w:pP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Подпрограмма</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«Развитие жилищно-коммунального комплекса на территории ЗАТО г. Радужный Владимирской области»</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Паспорт подпрограммы</w:t>
      </w:r>
    </w:p>
    <w:tbl>
      <w:tblPr>
        <w:tblpPr w:bottomFromText="0" w:horzAnchor="margin" w:leftFromText="180" w:rightFromText="180" w:tblpX="0" w:tblpXSpec="center" w:tblpY="898" w:topFromText="0" w:vertAnchor="text"/>
        <w:tblW w:w="9627" w:type="dxa"/>
        <w:jc w:val="center"/>
        <w:tblInd w:w="0" w:type="dxa"/>
        <w:tblLayout w:type="fixed"/>
        <w:tblCellMar>
          <w:top w:w="62" w:type="dxa"/>
          <w:left w:w="102" w:type="dxa"/>
          <w:bottom w:w="102" w:type="dxa"/>
          <w:right w:w="62" w:type="dxa"/>
        </w:tblCellMar>
        <w:tblLook w:firstRow="0" w:noVBand="0" w:lastRow="0" w:firstColumn="0" w:lastColumn="0" w:noHBand="0" w:val="0000"/>
      </w:tblPr>
      <w:tblGrid>
        <w:gridCol w:w="3263"/>
        <w:gridCol w:w="6363"/>
      </w:tblGrid>
      <w:tr>
        <w:trPr>
          <w:trHeight w:val="777"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Наименование  подпрограммы </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360" w:hanging="0"/>
              <w:outlineLvl w:val="1"/>
              <w:rPr>
                <w:rFonts w:ascii="Times New Roman" w:hAnsi="Times New Roman" w:cs="Times New Roman"/>
                <w:bCs/>
                <w:sz w:val="28"/>
                <w:szCs w:val="28"/>
              </w:rPr>
            </w:pPr>
            <w:r>
              <w:rPr>
                <w:rFonts w:cs="Times New Roman" w:ascii="Times New Roman" w:hAnsi="Times New Roman"/>
                <w:sz w:val="28"/>
                <w:szCs w:val="28"/>
              </w:rPr>
              <w:t xml:space="preserve"> </w:t>
            </w:r>
            <w:r>
              <w:rPr>
                <w:rFonts w:cs="Times New Roman" w:ascii="Times New Roman" w:hAnsi="Times New Roman"/>
                <w:bCs/>
                <w:sz w:val="28"/>
                <w:szCs w:val="28"/>
              </w:rPr>
              <w:t>«Развитие жилищно-коммунального комплекса на территории  ЗАТО г. Радужный Владимирской области»</w:t>
            </w:r>
          </w:p>
        </w:tc>
      </w:tr>
      <w:tr>
        <w:trPr>
          <w:trHeight w:val="832"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Ответственный исполнитель подпрограммы</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МКУ «ГКМХ»  </w:t>
            </w:r>
          </w:p>
        </w:tc>
      </w:tr>
      <w:tr>
        <w:trPr>
          <w:trHeight w:val="1"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Цели подпрограммы</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tc>
      </w:tr>
      <w:tr>
        <w:trPr>
          <w:trHeight w:val="2080"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Задачи подпрограммы</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 модернизация объектов коммунальной инфраструктуры  муниципального образования;                            </w:t>
              <w:br/>
              <w:t xml:space="preserve">- снижение тарифной нагрузки для населения;           </w:t>
              <w:br/>
              <w:t xml:space="preserve">- создание условий для снижения издержек и повышения  качества предоставляемых жилищно-коммунальных услуг   </w:t>
            </w:r>
          </w:p>
        </w:tc>
      </w:tr>
      <w:tr>
        <w:trPr>
          <w:trHeight w:val="4026"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 подпрограммы</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Доля потребителей, обеспеченных доступом к коммунальной инфраструктуре в  муниципальном образовании;</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Соответствие фактически сложившегося роста платы граждан за коммунальные услуги установленному субъектом Федерации;</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Доля неэффективных предприятий жилищно-коммунального хозяйства</w:t>
            </w:r>
          </w:p>
        </w:tc>
      </w:tr>
      <w:tr>
        <w:trPr>
          <w:trHeight w:val="348"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Этапы и сроки реализации подпрограммы</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2017 - 2025  годы,  в том числе: 1 этап – 2017 год,  2 этап – 2018 год, 3 этап – 2019 год, 4 этап – 2020 год, 5 этап – 2021 год,  6 этап – 2022 год, 7 этап – 2023 год, 8 этап – 2024 год, 9 этап -2025 год .</w:t>
            </w:r>
          </w:p>
        </w:tc>
      </w:tr>
      <w:tr>
        <w:trPr>
          <w:trHeight w:val="1"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подпрограммы, в том числе по годам </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eastAsia="Calibri" w:cs="" w:cstheme="minorBidi" w:eastAsiaTheme="minorHAnsi"/>
                <w:kern w:val="2"/>
                <w:sz w:val="28"/>
                <w:szCs w:val="28"/>
              </w:rPr>
              <w:t xml:space="preserve"> </w:t>
            </w:r>
            <w:r>
              <w:rPr>
                <w:rFonts w:cs="Times New Roman" w:ascii="Times New Roman" w:hAnsi="Times New Roman"/>
                <w:sz w:val="28"/>
                <w:szCs w:val="28"/>
              </w:rPr>
              <w:t xml:space="preserve">Объем финансирования подпрограммы составляет 365 382,43643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 том числе по годам:</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2017 год – 41 188,07843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2018 год – 39 621,41262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2019 год – 46 671,75601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2020 год – 38 066,49155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2021 год – 38 725,47205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2022 год – 50 909,17148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2023 год -  38 671,04543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год – 35 764,50443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2025 год – 35 764,50443 тыс. руб.</w:t>
            </w:r>
          </w:p>
        </w:tc>
      </w:tr>
      <w:tr>
        <w:trPr>
          <w:trHeight w:val="981"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Ожидаемые результаты реализации подпрограммы</w:t>
            </w:r>
          </w:p>
        </w:tc>
        <w:tc>
          <w:tcPr>
            <w:tcW w:w="6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повышение качества и доступности предоставляемых жилищных и коммунальных   услуг                                                 </w:t>
            </w:r>
          </w:p>
        </w:tc>
      </w:tr>
    </w:tbl>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sz w:val="28"/>
          <w:szCs w:val="28"/>
        </w:rPr>
        <w:t xml:space="preserve">1.Характеристика проблемы и обоснование необходимости решения </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ее программными методами</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Особенности жилищно-коммунального комплекса обусловлены его социальной и экономической  значимостью, а также сложной системой взаимосвязей хозяйствующих субъектов и потребителей услуг, в первую очередь населения.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Социальная значимость жилищно-коммунального комплекса состоит  в создании необходимых условий для комфортного и безопасного проживания граждан на территории города.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Экономическая значимость жилищно-коммунального комплекса определяется постоянным потребительским спросом на работы  и услуги и высоким потенциалом для развития частного бизнеса.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Жилищно-коммунальный  комплекс представляет собой сложную систему социально-экономических отношений, интересов и взаимодействий органов государственной власти и местного самоуправления, предприятий и организаций, бизнеса и  населения, как потребителя жилищно-коммунальных услуг.</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Жилищно-коммунальный  комплекс включает в себя широкий круг деятельности по управлению многоотраслевым муниципальным хозяйством.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Основную цель функционирования жилищно-коммунального комплекса можно сформулировать, как обеспечение эффективного  механизма,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Главная задача сферы ЖКХ состоит в том, чтобы все жители независимо от уровня дохода были обеспечены качественными услугами. Качество, объем, номенклатура оказываемых услуг должны соответствовать существующим социальным нормативам и стандартам. Показатели качества должны учитываться  при оценке деятельности предприятия ЖКХ.</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Основной проблемой в жилищно-коммунальном хозяйстве является высокий процент износа объектов коммунальной инфраструктуры. Реализация мероприятий программы позволит снизить уровня износа объектов коммунальной инфраструктуры до 50 процентов, повысить</w:t>
        <w:br/>
        <w:t>качество предоставляемых коммунальных услуг.</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дальнейшего улучшения качества жизни населения, комплексного развития систем коммунальной инфраструктуры, снижения необоснованных затрат за счет принятия инвестиционных программ организаций коммунального комплекса, снижения нагрузки на потребителей и разработана настоящая программа.</w:t>
      </w:r>
    </w:p>
    <w:p>
      <w:pPr>
        <w:pStyle w:val="Normal"/>
        <w:numPr>
          <w:ilvl w:val="0"/>
          <w:numId w:val="0"/>
        </w:numPr>
        <w:spacing w:lineRule="auto" w:line="240" w:before="0" w:after="0"/>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2.Основные цели,  задачи и показатели (индикаторы) их достижения, основные ожидаемые конечные результаты подпрограммы, сроки и этапы ее реализации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Основные цели подпрограммы: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sz w:val="28"/>
          <w:szCs w:val="28"/>
        </w:rPr>
        <w:t>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Основные задачи программы: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-модернизация объектов коммунальной инфраструктуры ЗАТО г. Радужный Владимирской области;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уменьшение тарифной нагрузки для населения;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создание условий для снижения издержек и повышения качества</w:t>
        <w:br/>
        <w:t>предоставляемых жилищно-коммунальных услуг.</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Основными целевыми показателями (индикаторами) реализации муниципальной программы являются: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Доля потребителей, обеспеченных доступом к коммунальной инфраструктуре в  муниципальном образовании;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Соответствие фактически сложившегося роста платы граждан за коммунальные услуги установленному субъектом Федерации;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Доля неэффективных предприятий жилищно-коммунального хозяйства</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Исходя из анализа существующего положения дел в жилищно-коммунальном комплексе ЗАТО г. Радужный Владимирской области и целей настоящей программы предусматриваются основные направления ее реализации: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содействие комплексному развитию систем коммунальной инфраструктуры ЗАТО г. Радужный Владимирской области;</w:t>
      </w:r>
    </w:p>
    <w:p>
      <w:pPr>
        <w:pStyle w:val="PlainText"/>
        <w:tabs>
          <w:tab w:val="clear" w:pos="708"/>
          <w:tab w:val="left" w:pos="318" w:leader="none"/>
        </w:tabs>
        <w:ind w:left="-142" w:right="-142" w:hanging="0"/>
        <w:jc w:val="center"/>
        <w:rPr>
          <w:rFonts w:ascii="Times New Roman" w:hAnsi="Times New Roman"/>
          <w:color w:val="000000"/>
          <w:sz w:val="25"/>
          <w:szCs w:val="25"/>
        </w:rPr>
      </w:pPr>
      <w:r>
        <w:rPr>
          <w:rFonts w:ascii="Times New Roman" w:hAnsi="Times New Roman"/>
          <w:color w:val="000000"/>
          <w:sz w:val="28"/>
          <w:szCs w:val="28"/>
        </w:rPr>
        <w:t>Целевые показатели (индикаторы) подпрограммы</w:t>
      </w:r>
      <w:r>
        <w:rPr>
          <w:rFonts w:ascii="Times New Roman" w:hAnsi="Times New Roman"/>
          <w:color w:val="000000"/>
          <w:sz w:val="25"/>
          <w:szCs w:val="25"/>
        </w:rPr>
        <w:t>:</w:t>
      </w:r>
    </w:p>
    <w:tbl>
      <w:tblPr>
        <w:tblW w:w="9571"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602"/>
        <w:gridCol w:w="2625"/>
        <w:gridCol w:w="1049"/>
        <w:gridCol w:w="1040"/>
        <w:gridCol w:w="285"/>
        <w:gridCol w:w="850"/>
        <w:gridCol w:w="993"/>
        <w:gridCol w:w="991"/>
        <w:gridCol w:w="1134"/>
      </w:tblGrid>
      <w:tr>
        <w:trPr/>
        <w:tc>
          <w:tcPr>
            <w:tcW w:w="6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6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Показатели (индикаторы)</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Ед.изм.</w:t>
            </w:r>
          </w:p>
        </w:tc>
        <w:tc>
          <w:tcPr>
            <w:tcW w:w="5293"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Значение показателя (индикатора)</w:t>
            </w:r>
          </w:p>
        </w:tc>
      </w:tr>
      <w:tr>
        <w:trPr>
          <w:trHeight w:val="666" w:hRule="atLeast"/>
        </w:trPr>
        <w:tc>
          <w:tcPr>
            <w:tcW w:w="6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Отчетный год</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Текущий год</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Плановый период реализации Программы</w:t>
            </w:r>
          </w:p>
        </w:tc>
      </w:tr>
      <w:tr>
        <w:trPr/>
        <w:tc>
          <w:tcPr>
            <w:tcW w:w="6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2025</w:t>
            </w:r>
          </w:p>
        </w:tc>
      </w:tr>
      <w:tr>
        <w:trPr/>
        <w:tc>
          <w:tcPr>
            <w:tcW w:w="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26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4</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6</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8</w:t>
            </w:r>
          </w:p>
        </w:tc>
      </w:tr>
      <w:tr>
        <w:trPr>
          <w:trHeight w:val="452" w:hRule="atLeast"/>
        </w:trPr>
        <w:tc>
          <w:tcPr>
            <w:tcW w:w="956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200"/>
              <w:ind w:left="720" w:right="-7" w:hanging="360"/>
              <w:rPr>
                <w:rFonts w:ascii="Times New Roman" w:hAnsi="Times New Roman" w:cs="Times New Roman"/>
                <w:sz w:val="24"/>
                <w:szCs w:val="24"/>
              </w:rPr>
            </w:pPr>
            <w:r>
              <w:rPr>
                <w:rFonts w:cs="Times New Roman" w:ascii="Times New Roman" w:hAnsi="Times New Roman"/>
                <w:sz w:val="24"/>
                <w:szCs w:val="24"/>
              </w:rPr>
              <w:t>Показатель (критерий) территориальной доступности</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rPr>
            </w:pPr>
            <w:r>
              <w:rPr>
                <w:rFonts w:cs="Times New Roman" w:ascii="Times New Roman" w:hAnsi="Times New Roman"/>
              </w:rPr>
              <w:t>Доля потребителей, обеспеченных доступом к коммунальной инфраструктуре в  муниципальном образовании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956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200"/>
              <w:ind w:left="720" w:right="-7" w:hanging="360"/>
              <w:rPr>
                <w:rFonts w:ascii="Times New Roman" w:hAnsi="Times New Roman" w:cs="Times New Roman"/>
                <w:sz w:val="24"/>
                <w:szCs w:val="24"/>
              </w:rPr>
            </w:pPr>
            <w:r>
              <w:rPr>
                <w:rFonts w:cs="Times New Roman" w:ascii="Times New Roman" w:hAnsi="Times New Roman"/>
                <w:sz w:val="24"/>
                <w:szCs w:val="24"/>
              </w:rPr>
              <w:t>Показатель (критерий) экономической доступности</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rPr>
            </w:pPr>
            <w:r>
              <w:rPr>
                <w:rFonts w:cs="Times New Roman" w:ascii="Times New Roman" w:hAnsi="Times New Roman"/>
              </w:rPr>
              <w:t xml:space="preserve">Соответствие фактически сложившегося роста платы граждан за коммунальные услуги установленному субъектом Федерации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7" w:hanging="0"/>
              <w:jc w:val="center"/>
              <w:rPr>
                <w:rFonts w:ascii="Times New Roman" w:hAnsi="Times New Roman" w:cs="Times New Roman"/>
                <w:sz w:val="24"/>
                <w:szCs w:val="24"/>
              </w:rPr>
            </w:pPr>
            <w:r>
              <w:rPr>
                <w:rFonts w:cs="Times New Roman" w:ascii="Times New Roman" w:hAnsi="Times New Roman"/>
                <w:sz w:val="24"/>
                <w:szCs w:val="24"/>
              </w:rPr>
              <w:t>Коэффициент</w:t>
            </w:r>
          </w:p>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956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sz w:val="24"/>
                <w:szCs w:val="24"/>
              </w:rPr>
            </w:pPr>
            <w:r>
              <w:rPr>
                <w:rFonts w:cs="Times New Roman" w:ascii="Times New Roman" w:hAnsi="Times New Roman"/>
              </w:rPr>
              <w:t>3.</w:t>
            </w:r>
            <w:r>
              <w:rPr>
                <w:rFonts w:cs="Times New Roman" w:ascii="Times New Roman" w:hAnsi="Times New Roman"/>
                <w:sz w:val="28"/>
                <w:szCs w:val="28"/>
              </w:rPr>
              <w:t xml:space="preserve"> </w:t>
            </w:r>
            <w:r>
              <w:rPr>
                <w:rFonts w:cs="Times New Roman" w:ascii="Times New Roman" w:hAnsi="Times New Roman"/>
                <w:sz w:val="24"/>
                <w:szCs w:val="24"/>
              </w:rPr>
              <w:t>Показатель доли неэффективных расходов на жилищно-коммунальное хозяйство</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3.1.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color w:val="000000"/>
              </w:rPr>
            </w:pPr>
            <w:r>
              <w:rPr>
                <w:rFonts w:cs="Times New Roman" w:ascii="Times New Roman" w:hAnsi="Times New Roman"/>
              </w:rPr>
              <w:t>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956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4.</w:t>
            </w:r>
            <w:r>
              <w:rPr>
                <w:rFonts w:cs="Times New Roman" w:ascii="Times New Roman" w:hAnsi="Times New Roman"/>
                <w:sz w:val="24"/>
                <w:szCs w:val="24"/>
              </w:rPr>
              <w:t>Показатель доли не эффективных организаций жилищно-коммунального хозяйства</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4.1.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color w:val="000000"/>
              </w:rPr>
            </w:pPr>
            <w:r>
              <w:rPr>
                <w:rFonts w:cs="Times New Roman" w:ascii="Times New Roman" w:hAnsi="Times New Roman"/>
              </w:rPr>
              <w:t>Доля неэффективных предприятий жилищно-коммунального хозяйства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*Неэффективным расходованием бюджетных средств в области жилищно-коммунального хозяйства является направление бюджетных средств на компенсацию организациям жилищно-коммунальной сферы разницы между экономически обоснованными тарифами и тарифами, установленными для населения и на покрытие убытков организаций жилищно-коммунального хозяйства, возникших в связи с применением регулируемых цен на жилищно-коммунальные услуги.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Сроки реализации подпрограммы 2017-2025 годы: 1 этап – 2017 год,  2 этап – 2018 год, 3 этап – 2019 год, 4 этап – 2020 год,  5 этап – 2021 год, 6 этап – 2022 год, 7 этап – 2023год, 8 этап – 2024 год, 9 этап – 2025 год.  </w:t>
      </w:r>
    </w:p>
    <w:p>
      <w:pPr>
        <w:pStyle w:val="Normal"/>
        <w:spacing w:lineRule="auto" w:line="240" w:before="0" w:after="0"/>
        <w:ind w:left="360" w:hanging="0"/>
        <w:jc w:val="center"/>
        <w:rPr>
          <w:rFonts w:ascii="Times New Roman" w:hAnsi="Times New Roman" w:cs="Times New Roman"/>
          <w:b/>
          <w:b/>
          <w:bCs/>
          <w:sz w:val="28"/>
          <w:szCs w:val="28"/>
        </w:rPr>
      </w:pPr>
      <w:r>
        <w:rPr>
          <w:rFonts w:cs="Times New Roman" w:ascii="Times New Roman" w:hAnsi="Times New Roman"/>
          <w:b/>
          <w:bCs/>
          <w:sz w:val="28"/>
          <w:szCs w:val="28"/>
        </w:rPr>
        <w:t>3.Ресурсное обеспечение реализации подпрограммы</w:t>
      </w:r>
    </w:p>
    <w:tbl>
      <w:tblPr>
        <w:tblStyle w:val="ac"/>
        <w:tblW w:w="98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4"/>
        <w:gridCol w:w="1718"/>
        <w:gridCol w:w="992"/>
        <w:gridCol w:w="1701"/>
        <w:gridCol w:w="285"/>
        <w:gridCol w:w="1417"/>
        <w:gridCol w:w="1558"/>
        <w:gridCol w:w="750"/>
        <w:gridCol w:w="1057"/>
      </w:tblGrid>
      <w:tr>
        <w:trPr/>
        <w:tc>
          <w:tcPr>
            <w:tcW w:w="374"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w:t>
            </w:r>
          </w:p>
        </w:tc>
        <w:tc>
          <w:tcPr>
            <w:tcW w:w="1718"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 xml:space="preserve">Наименование подпрограммы </w:t>
            </w:r>
          </w:p>
        </w:tc>
        <w:tc>
          <w:tcPr>
            <w:tcW w:w="992"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Срок исполнения (по годам</w:t>
            </w:r>
          </w:p>
        </w:tc>
        <w:tc>
          <w:tcPr>
            <w:tcW w:w="1701"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Объем финансирования</w:t>
            </w:r>
          </w:p>
        </w:tc>
        <w:tc>
          <w:tcPr>
            <w:tcW w:w="4010" w:type="dxa"/>
            <w:gridSpan w:val="4"/>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В том числе:</w:t>
            </w:r>
          </w:p>
        </w:tc>
        <w:tc>
          <w:tcPr>
            <w:tcW w:w="1057"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
                <w:bCs/>
                <w:kern w:val="0"/>
                <w:sz w:val="18"/>
                <w:szCs w:val="18"/>
                <w:lang w:val="ru-RU" w:bidi="ar-SA"/>
              </w:rPr>
              <w:t>Исполнители, соисполнители</w:t>
            </w:r>
          </w:p>
        </w:tc>
      </w:tr>
      <w:tr>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01"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285"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 xml:space="preserve">Субвенции </w:t>
            </w:r>
          </w:p>
        </w:tc>
        <w:tc>
          <w:tcPr>
            <w:tcW w:w="2975" w:type="dxa"/>
            <w:gridSpan w:val="2"/>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Собственные доходы</w:t>
            </w:r>
          </w:p>
        </w:tc>
        <w:tc>
          <w:tcPr>
            <w:tcW w:w="750"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Внебюджетные средства</w:t>
            </w:r>
          </w:p>
        </w:tc>
        <w:tc>
          <w:tcPr>
            <w:tcW w:w="1057"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rHeight w:val="2507" w:hRule="atLeast"/>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01"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285"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417" w:type="dxa"/>
            <w:tcBorders/>
          </w:tcPr>
          <w:p>
            <w:pPr>
              <w:pStyle w:val="Normal"/>
              <w:widowControl w:val="fals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bidi="ar-SA"/>
              </w:rPr>
              <w:t>Субсидии,</w:t>
            </w:r>
          </w:p>
          <w:p>
            <w:pPr>
              <w:pStyle w:val="Normal"/>
              <w:widowControl w:val="fals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bidi="ar-SA"/>
              </w:rPr>
              <w:t xml:space="preserve">иные межбюджетные </w:t>
            </w:r>
          </w:p>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kern w:val="0"/>
                <w:sz w:val="24"/>
                <w:szCs w:val="24"/>
                <w:lang w:val="ru-RU" w:bidi="ar-SA"/>
              </w:rPr>
              <w:t>трансферты</w:t>
            </w:r>
          </w:p>
        </w:tc>
        <w:tc>
          <w:tcPr>
            <w:tcW w:w="1558"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Другие собственные доходы</w:t>
            </w:r>
          </w:p>
        </w:tc>
        <w:tc>
          <w:tcPr>
            <w:tcW w:w="750"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rHeight w:val="2619" w:hRule="atLeast"/>
          <w:cantSplit w:val="true"/>
        </w:trPr>
        <w:tc>
          <w:tcPr>
            <w:tcW w:w="374"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1</w:t>
            </w:r>
          </w:p>
        </w:tc>
        <w:tc>
          <w:tcPr>
            <w:tcW w:w="1718" w:type="dxa"/>
            <w:tcBorders/>
          </w:tcPr>
          <w:p>
            <w:pPr>
              <w:pStyle w:val="Normal"/>
              <w:widowControl/>
              <w:spacing w:before="0" w:after="200"/>
              <w:jc w:val="left"/>
              <w:rPr>
                <w:rFonts w:ascii="Times New Roman" w:hAnsi="Times New Roman" w:cs="Times New Roman"/>
                <w:bCs/>
                <w:sz w:val="24"/>
                <w:szCs w:val="24"/>
              </w:rPr>
            </w:pPr>
            <w:r>
              <w:rPr>
                <w:rFonts w:eastAsia="Calibri" w:cs="Times New Roman" w:ascii="Times New Roman" w:hAnsi="Times New Roman"/>
                <w:kern w:val="0"/>
                <w:lang w:val="ru-RU" w:bidi="ar-SA"/>
              </w:rPr>
              <w:t>«Развитие жилищно-коммунального комплекса на территории ЗАТО г. Радужный Владимирской области»</w:t>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01"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285"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41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558"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extDirection w:val="btLr"/>
          </w:tcPr>
          <w:p>
            <w:pPr>
              <w:pStyle w:val="Normal"/>
              <w:widowControl/>
              <w:spacing w:before="0" w:after="200"/>
              <w:ind w:left="113" w:right="113" w:hanging="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МКУ «ГКМХ»</w:t>
            </w:r>
          </w:p>
        </w:tc>
      </w:tr>
      <w:tr>
        <w:trPr>
          <w:trHeight w:val="486" w:hRule="atLeast"/>
        </w:trPr>
        <w:tc>
          <w:tcPr>
            <w:tcW w:w="374"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Всего</w:t>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2017-2025</w:t>
            </w:r>
          </w:p>
        </w:tc>
        <w:tc>
          <w:tcPr>
            <w:tcW w:w="1701"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kern w:val="0"/>
                <w:lang w:val="ru-RU" w:bidi="ar-SA"/>
              </w:rPr>
              <w:t>365 382,43643</w:t>
            </w:r>
            <w:bookmarkStart w:id="0" w:name="_GoBack"/>
            <w:bookmarkEnd w:id="0"/>
            <w:r>
              <w:rPr>
                <w:rFonts w:eastAsia="Calibri" w:cs="Times New Roman" w:ascii="Times New Roman" w:hAnsi="Times New Roman"/>
                <w:kern w:val="0"/>
                <w:lang w:val="ru-RU" w:bidi="ar-SA"/>
              </w:rPr>
              <w:t xml:space="preserve">  </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t>1615,10</w:t>
            </w:r>
          </w:p>
        </w:tc>
        <w:tc>
          <w:tcPr>
            <w:tcW w:w="1558"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t xml:space="preserve">363 767,33643 </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c>
          <w:tcPr>
            <w:tcW w:w="374"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 xml:space="preserve"> </w:t>
            </w:r>
            <w:r>
              <w:rPr>
                <w:rFonts w:eastAsia="Calibri" w:cs="Times New Roman" w:ascii="Times New Roman" w:hAnsi="Times New Roman"/>
                <w:bCs/>
                <w:kern w:val="0"/>
                <w:sz w:val="24"/>
                <w:szCs w:val="24"/>
                <w:lang w:val="ru-RU" w:bidi="ar-SA"/>
              </w:rPr>
              <w:t>В том числе по годам</w:t>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2017</w:t>
            </w:r>
          </w:p>
        </w:tc>
        <w:tc>
          <w:tcPr>
            <w:tcW w:w="1701" w:type="dxa"/>
            <w:tcBorders/>
          </w:tcPr>
          <w:p>
            <w:pPr>
              <w:pStyle w:val="Normal"/>
              <w:widowControl/>
              <w:spacing w:before="0" w:after="200"/>
              <w:jc w:val="center"/>
              <w:rPr>
                <w:rFonts w:ascii="Times New Roman" w:hAnsi="Times New Roman" w:cs="Times New Roman"/>
                <w:bCs/>
              </w:rPr>
            </w:pPr>
            <w:r>
              <w:rPr>
                <w:rFonts w:eastAsia="Times New Roman" w:cs="Times New Roman" w:ascii="Times New Roman" w:hAnsi="Times New Roman"/>
                <w:color w:val="000000"/>
                <w:kern w:val="0"/>
                <w:lang w:val="ru-RU" w:eastAsia="ru-RU" w:bidi="ar-SA"/>
              </w:rPr>
              <w:t>41 188,07843</w:t>
            </w:r>
            <w:r>
              <w:rPr>
                <w:rFonts w:eastAsia="Calibri" w:cs="Times New Roman" w:ascii="Times New Roman" w:hAnsi="Times New Roman"/>
                <w:kern w:val="0"/>
                <w:lang w:val="ru-RU" w:bidi="ar-SA"/>
              </w:rPr>
              <w:t xml:space="preserve">  </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cPr>
          <w:p>
            <w:pPr>
              <w:pStyle w:val="Normal"/>
              <w:widowControl/>
              <w:spacing w:before="0" w:after="200"/>
              <w:jc w:val="center"/>
              <w:rPr>
                <w:rFonts w:ascii="Times New Roman" w:hAnsi="Times New Roman" w:cs="Times New Roman"/>
                <w:bCs/>
              </w:rPr>
            </w:pPr>
            <w:r>
              <w:rPr>
                <w:rFonts w:eastAsia="Times New Roman" w:cs="Times New Roman" w:ascii="Times New Roman" w:hAnsi="Times New Roman"/>
                <w:color w:val="000000"/>
                <w:kern w:val="0"/>
                <w:lang w:val="ru-RU" w:eastAsia="ru-RU" w:bidi="ar-SA"/>
              </w:rPr>
              <w:t>41 188,07843</w:t>
            </w:r>
            <w:r>
              <w:rPr>
                <w:rFonts w:eastAsia="Calibri" w:cs="Times New Roman" w:ascii="Times New Roman" w:hAnsi="Times New Roman"/>
                <w:kern w:val="0"/>
                <w:lang w:val="ru-RU" w:bidi="ar-SA"/>
              </w:rPr>
              <w:t xml:space="preserve">  </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2018</w:t>
            </w:r>
          </w:p>
        </w:tc>
        <w:tc>
          <w:tcPr>
            <w:tcW w:w="1701" w:type="dxa"/>
            <w:tcBorders/>
          </w:tcPr>
          <w:p>
            <w:pPr>
              <w:pStyle w:val="Normal"/>
              <w:widowControl/>
              <w:spacing w:before="0" w:after="200"/>
              <w:jc w:val="center"/>
              <w:rPr>
                <w:rFonts w:ascii="Times New Roman" w:hAnsi="Times New Roman" w:cs="Times New Roman"/>
                <w:bCs/>
              </w:rPr>
            </w:pPr>
            <w:r>
              <w:rPr>
                <w:rFonts w:eastAsia="Times New Roman" w:cs="Times New Roman" w:ascii="Times New Roman" w:hAnsi="Times New Roman"/>
                <w:color w:val="000000"/>
                <w:kern w:val="0"/>
                <w:lang w:val="ru-RU" w:eastAsia="ru-RU" w:bidi="ar-SA"/>
              </w:rPr>
              <w:t>39 621,41262</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cPr>
          <w:p>
            <w:pPr>
              <w:pStyle w:val="Normal"/>
              <w:widowControl/>
              <w:spacing w:before="0" w:after="200"/>
              <w:jc w:val="center"/>
              <w:rPr>
                <w:rFonts w:ascii="Times New Roman" w:hAnsi="Times New Roman" w:cs="Times New Roman"/>
                <w:bCs/>
              </w:rPr>
            </w:pPr>
            <w:r>
              <w:rPr>
                <w:rFonts w:eastAsia="Times New Roman" w:cs="Times New Roman" w:ascii="Times New Roman" w:hAnsi="Times New Roman"/>
                <w:color w:val="000000"/>
                <w:kern w:val="0"/>
                <w:lang w:val="ru-RU" w:eastAsia="ru-RU" w:bidi="ar-SA"/>
              </w:rPr>
              <w:t>39 621,41262</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2019</w:t>
            </w:r>
          </w:p>
        </w:tc>
        <w:tc>
          <w:tcPr>
            <w:tcW w:w="1701"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kern w:val="0"/>
                <w:lang w:val="ru-RU" w:bidi="ar-SA"/>
              </w:rPr>
              <w:t>46 671,75601</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kern w:val="0"/>
                <w:lang w:val="ru-RU" w:bidi="ar-SA"/>
              </w:rPr>
              <w:t>46 671,75601</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2020</w:t>
            </w:r>
          </w:p>
        </w:tc>
        <w:tc>
          <w:tcPr>
            <w:tcW w:w="1701"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kern w:val="0"/>
                <w:lang w:val="ru-RU" w:bidi="ar-SA"/>
              </w:rPr>
              <w:t>38 066,49155</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kern w:val="0"/>
                <w:lang w:val="ru-RU" w:bidi="ar-SA"/>
              </w:rPr>
              <w:t>38 066,49155</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2021</w:t>
            </w:r>
          </w:p>
        </w:tc>
        <w:tc>
          <w:tcPr>
            <w:tcW w:w="1701"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t>38 725,47205</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t>38 725,47205</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2022</w:t>
            </w:r>
          </w:p>
        </w:tc>
        <w:tc>
          <w:tcPr>
            <w:tcW w:w="1701"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t>50 909,17148</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t xml:space="preserve">     </w:t>
            </w:r>
            <w:r>
              <w:rPr>
                <w:rFonts w:eastAsia="Calibri" w:cs="Times New Roman" w:ascii="Times New Roman" w:hAnsi="Times New Roman"/>
                <w:bCs/>
                <w:kern w:val="0"/>
                <w:lang w:val="ru-RU" w:bidi="ar-SA"/>
              </w:rPr>
              <w:t>1615,10</w:t>
            </w:r>
          </w:p>
        </w:tc>
        <w:tc>
          <w:tcPr>
            <w:tcW w:w="1558"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t>49 294,07148</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rHeight w:val="303" w:hRule="atLeast"/>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2023</w:t>
            </w:r>
          </w:p>
        </w:tc>
        <w:tc>
          <w:tcPr>
            <w:tcW w:w="1701" w:type="dxa"/>
            <w:tcBorders>
              <w:top w:val="nil"/>
            </w:tcBorders>
            <w:shd w:color="auto" w:fill="auto" w:val="clear"/>
            <w:vAlign w:val="bottom"/>
          </w:tcPr>
          <w:p>
            <w:pPr>
              <w:pStyle w:val="Normal"/>
              <w:widowControl/>
              <w:spacing w:before="0" w:after="200"/>
              <w:jc w:val="right"/>
              <w:rPr>
                <w:rFonts w:ascii="Times New Roman" w:hAnsi="Times New Roman" w:cs="Times New Roman"/>
                <w:color w:val="000000"/>
              </w:rPr>
            </w:pPr>
            <w:r>
              <w:rPr>
                <w:rFonts w:eastAsia="Calibri" w:cs="Times New Roman" w:ascii="Times New Roman" w:hAnsi="Times New Roman"/>
                <w:color w:val="000000"/>
                <w:kern w:val="0"/>
                <w:lang w:val="ru-RU" w:bidi="ar-SA"/>
              </w:rPr>
              <w:t>38 671,04543</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op w:val="nil"/>
            </w:tcBorders>
            <w:shd w:color="auto" w:fill="auto" w:val="clear"/>
            <w:vAlign w:val="bottom"/>
          </w:tcPr>
          <w:p>
            <w:pPr>
              <w:pStyle w:val="Normal"/>
              <w:widowControl/>
              <w:spacing w:before="0" w:after="200"/>
              <w:jc w:val="right"/>
              <w:rPr>
                <w:rFonts w:ascii="Times New Roman" w:hAnsi="Times New Roman" w:cs="Times New Roman"/>
                <w:color w:val="000000"/>
              </w:rPr>
            </w:pPr>
            <w:r>
              <w:rPr>
                <w:rFonts w:eastAsia="Calibri" w:cs="Times New Roman" w:ascii="Times New Roman" w:hAnsi="Times New Roman"/>
                <w:color w:val="000000"/>
                <w:kern w:val="0"/>
                <w:lang w:val="ru-RU" w:bidi="ar-SA"/>
              </w:rPr>
              <w:t>38 671,04543</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rHeight w:val="303" w:hRule="atLeast"/>
        </w:trPr>
        <w:tc>
          <w:tcPr>
            <w:tcW w:w="374" w:type="dxa"/>
            <w:vMerge w:val="restart"/>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2024</w:t>
            </w:r>
          </w:p>
        </w:tc>
        <w:tc>
          <w:tcPr>
            <w:tcW w:w="1701" w:type="dxa"/>
            <w:tcBorders>
              <w:top w:val="nil"/>
            </w:tcBorders>
            <w:shd w:color="auto" w:fill="auto" w:val="clear"/>
            <w:vAlign w:val="bottom"/>
          </w:tcPr>
          <w:p>
            <w:pPr>
              <w:pStyle w:val="Normal"/>
              <w:widowControl/>
              <w:spacing w:before="0" w:after="200"/>
              <w:jc w:val="right"/>
              <w:rPr>
                <w:rFonts w:ascii="Times New Roman" w:hAnsi="Times New Roman" w:cs="Times New Roman"/>
                <w:color w:val="000000"/>
              </w:rPr>
            </w:pPr>
            <w:r>
              <w:rPr>
                <w:rFonts w:eastAsia="Calibri" w:cs="Times New Roman" w:ascii="Times New Roman" w:hAnsi="Times New Roman"/>
                <w:color w:val="000000"/>
                <w:kern w:val="0"/>
                <w:lang w:val="ru-RU" w:bidi="ar-SA"/>
              </w:rPr>
              <w:t>35 764,50443</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op w:val="nil"/>
            </w:tcBorders>
            <w:shd w:color="auto" w:fill="auto" w:val="clear"/>
            <w:vAlign w:val="bottom"/>
          </w:tcPr>
          <w:p>
            <w:pPr>
              <w:pStyle w:val="Normal"/>
              <w:widowControl/>
              <w:spacing w:before="0" w:after="200"/>
              <w:jc w:val="right"/>
              <w:rPr>
                <w:rFonts w:ascii="Times New Roman" w:hAnsi="Times New Roman" w:cs="Times New Roman"/>
                <w:color w:val="000000"/>
              </w:rPr>
            </w:pPr>
            <w:r>
              <w:rPr>
                <w:rFonts w:eastAsia="Calibri" w:cs="Times New Roman" w:ascii="Times New Roman" w:hAnsi="Times New Roman"/>
                <w:color w:val="000000"/>
                <w:kern w:val="0"/>
                <w:lang w:val="ru-RU" w:bidi="ar-SA"/>
              </w:rPr>
              <w:t>35 764,50443</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r>
        <w:trPr>
          <w:trHeight w:val="303" w:hRule="atLeast"/>
        </w:trPr>
        <w:tc>
          <w:tcPr>
            <w:tcW w:w="374"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718" w:type="dxa"/>
            <w:vMerge w:val="continue"/>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992"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t>2025</w:t>
            </w:r>
          </w:p>
        </w:tc>
        <w:tc>
          <w:tcPr>
            <w:tcW w:w="1701" w:type="dxa"/>
            <w:tcBorders>
              <w:top w:val="nil"/>
            </w:tcBorders>
            <w:shd w:color="auto" w:fill="auto" w:val="clear"/>
            <w:vAlign w:val="bottom"/>
          </w:tcPr>
          <w:p>
            <w:pPr>
              <w:pStyle w:val="Normal"/>
              <w:widowControl/>
              <w:spacing w:before="0" w:after="200"/>
              <w:jc w:val="right"/>
              <w:rPr>
                <w:rFonts w:ascii="Times New Roman" w:hAnsi="Times New Roman" w:cs="Times New Roman"/>
                <w:color w:val="000000"/>
              </w:rPr>
            </w:pPr>
            <w:r>
              <w:rPr>
                <w:rFonts w:eastAsia="Calibri" w:cs="Times New Roman" w:ascii="Times New Roman" w:hAnsi="Times New Roman"/>
                <w:color w:val="000000"/>
                <w:kern w:val="0"/>
                <w:lang w:val="ru-RU" w:bidi="ar-SA"/>
              </w:rPr>
              <w:t>35 764,50443</w:t>
            </w:r>
          </w:p>
        </w:tc>
        <w:tc>
          <w:tcPr>
            <w:tcW w:w="285"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417" w:type="dxa"/>
            <w:tcBorders/>
          </w:tcPr>
          <w:p>
            <w:pPr>
              <w:pStyle w:val="Normal"/>
              <w:widowControl/>
              <w:spacing w:before="0" w:after="200"/>
              <w:jc w:val="center"/>
              <w:rPr>
                <w:rFonts w:ascii="Times New Roman" w:hAnsi="Times New Roman" w:cs="Times New Roman"/>
                <w:bCs/>
              </w:rPr>
            </w:pPr>
            <w:r>
              <w:rPr>
                <w:rFonts w:eastAsia="Calibri" w:cs="Times New Roman" w:ascii="Times New Roman" w:hAnsi="Times New Roman"/>
                <w:bCs/>
                <w:kern w:val="0"/>
                <w:lang w:val="ru-RU" w:bidi="ar-SA"/>
              </w:rPr>
            </w:r>
          </w:p>
        </w:tc>
        <w:tc>
          <w:tcPr>
            <w:tcW w:w="1558" w:type="dxa"/>
            <w:tcBorders>
              <w:top w:val="nil"/>
            </w:tcBorders>
            <w:shd w:color="auto" w:fill="auto" w:val="clear"/>
            <w:vAlign w:val="bottom"/>
          </w:tcPr>
          <w:p>
            <w:pPr>
              <w:pStyle w:val="Normal"/>
              <w:widowControl/>
              <w:spacing w:before="0" w:after="200"/>
              <w:jc w:val="right"/>
              <w:rPr>
                <w:rFonts w:ascii="Times New Roman" w:hAnsi="Times New Roman" w:cs="Times New Roman"/>
                <w:color w:val="000000"/>
              </w:rPr>
            </w:pPr>
            <w:r>
              <w:rPr>
                <w:rFonts w:eastAsia="Calibri" w:cs="Times New Roman" w:ascii="Times New Roman" w:hAnsi="Times New Roman"/>
                <w:color w:val="000000"/>
                <w:kern w:val="0"/>
                <w:lang w:val="ru-RU" w:bidi="ar-SA"/>
              </w:rPr>
              <w:t>35 764,50443</w:t>
            </w:r>
          </w:p>
        </w:tc>
        <w:tc>
          <w:tcPr>
            <w:tcW w:w="750"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c>
          <w:tcPr>
            <w:tcW w:w="1057" w:type="dxa"/>
            <w:tcBorders/>
          </w:tcPr>
          <w:p>
            <w:pPr>
              <w:pStyle w:val="Normal"/>
              <w:widowControl/>
              <w:spacing w:before="0" w:after="200"/>
              <w:jc w:val="center"/>
              <w:rPr>
                <w:rFonts w:ascii="Times New Roman" w:hAnsi="Times New Roman" w:cs="Times New Roman"/>
                <w:bCs/>
                <w:sz w:val="24"/>
                <w:szCs w:val="24"/>
              </w:rPr>
            </w:pPr>
            <w:r>
              <w:rPr>
                <w:rFonts w:eastAsia="Calibri" w:cs="Times New Roman" w:ascii="Times New Roman" w:hAnsi="Times New Roman"/>
                <w:bCs/>
                <w:kern w:val="0"/>
                <w:sz w:val="24"/>
                <w:szCs w:val="24"/>
                <w:lang w:val="ru-RU" w:bidi="ar-SA"/>
              </w:rPr>
            </w:r>
          </w:p>
        </w:tc>
      </w:tr>
    </w:tbl>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4. Мероприятия подпрограммы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Перечень мероприятий подпрограммы представлен в приложении подпрограмме.</w:t>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t>Подпрограмма</w:t>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t>Паспорт подпрограммы</w:t>
      </w:r>
    </w:p>
    <w:p>
      <w:pPr>
        <w:pStyle w:val="ConsPlusNormal"/>
        <w:widowControl/>
        <w:ind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8931" w:type="dxa"/>
        <w:jc w:val="left"/>
        <w:tblInd w:w="-68" w:type="dxa"/>
        <w:tblLayout w:type="fixed"/>
        <w:tblCellMar>
          <w:top w:w="0" w:type="dxa"/>
          <w:left w:w="70" w:type="dxa"/>
          <w:bottom w:w="0" w:type="dxa"/>
          <w:right w:w="70" w:type="dxa"/>
        </w:tblCellMar>
        <w:tblLook w:firstRow="1" w:noVBand="1" w:lastRow="0" w:firstColumn="1" w:lastColumn="0" w:noHBand="0" w:val="04a0"/>
      </w:tblPr>
      <w:tblGrid>
        <w:gridCol w:w="2406"/>
        <w:gridCol w:w="6524"/>
      </w:tblGrid>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 xml:space="preserve">Наименование подпрограммы          </w:t>
            </w:r>
          </w:p>
        </w:tc>
        <w:tc>
          <w:tcPr>
            <w:tcW w:w="652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rPr>
              <w:t>Ответственный исполнитель подпрограммы</w:t>
            </w:r>
          </w:p>
        </w:tc>
        <w:tc>
          <w:tcPr>
            <w:tcW w:w="65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rPr>
              <w:t>Муниципальное казенное учреждение «Городской комитет муниципального хозяйства ЗАТО г. Радужный Владимирской области» (Далее по тексту МКУ «ГКМХ»)</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Цели подпрограммы</w:t>
            </w:r>
          </w:p>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r>
          </w:p>
        </w:tc>
        <w:tc>
          <w:tcPr>
            <w:tcW w:w="65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Осуществление строительного контроля  в полном соответствии с требованиями действующего законодательства </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Задачи подпрограммы</w:t>
            </w:r>
          </w:p>
        </w:tc>
        <w:tc>
          <w:tcPr>
            <w:tcW w:w="6524"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1.Соблюдение  подрядными организациями качества выполняемых работ по капитальному ремонту на объектах в полном соответствии со сметной документацией, строительными нормами и правилами.</w:t>
            </w:r>
          </w:p>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2. Исключение несоответствия по качеству работ, поставок, технологической дисциплине.</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w:t>
            </w:r>
          </w:p>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r>
          </w:p>
        </w:tc>
        <w:tc>
          <w:tcPr>
            <w:tcW w:w="6524"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Количество заключенных  МКУ «ГКМХ» договоров, соглашений на осуществление строительного контроля с организациями, учреждениями</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Этапы и сроки реализации подпрограммы</w:t>
            </w:r>
          </w:p>
        </w:tc>
        <w:tc>
          <w:tcPr>
            <w:tcW w:w="6524"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2017 -2023  годы, в том числе: 1 этап – 2017 год, 2 этап – 2018 год, 3 этап – 2019 год, 4 этап – 2020 год, 5 этап – 2021 год, 6 этап – 2022 год, 7 этап – 2023 год, 8 этап – 2024 год, 9 этап – 2025 год.</w:t>
            </w:r>
          </w:p>
        </w:tc>
      </w:tr>
      <w:tr>
        <w:trPr>
          <w:trHeight w:val="979"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подпрограммы, в том числе по годам: </w:t>
            </w:r>
          </w:p>
        </w:tc>
        <w:tc>
          <w:tcPr>
            <w:tcW w:w="65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Объем финансирования программы составит – 2,75804 рублей, в том числе по годам:</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2017  - </w:t>
            </w:r>
            <w:r>
              <w:rPr>
                <w:rFonts w:cs="Times New Roman" w:ascii="Times New Roman" w:hAnsi="Times New Roman"/>
                <w:sz w:val="28"/>
                <w:szCs w:val="28"/>
              </w:rPr>
              <w:t xml:space="preserve">2,75804 тыс.руб, </w:t>
            </w:r>
            <w:r>
              <w:rPr>
                <w:rFonts w:cs="Times New Roman" w:ascii="Times New Roman" w:hAnsi="Times New Roman"/>
                <w:sz w:val="28"/>
                <w:szCs w:val="28"/>
                <w:lang w:eastAsia="ru-RU"/>
              </w:rPr>
              <w:t>2018-2025 годы–</w:t>
            </w:r>
            <w:r>
              <w:rPr>
                <w:rFonts w:cs="Times New Roman" w:ascii="Times New Roman" w:hAnsi="Times New Roman"/>
                <w:sz w:val="28"/>
                <w:szCs w:val="28"/>
              </w:rPr>
              <w:t xml:space="preserve"> 0 тыс. руб.</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72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8"/>
                <w:szCs w:val="28"/>
              </w:rPr>
            </w:pPr>
            <w:r>
              <w:rPr>
                <w:rFonts w:cs="Times New Roman" w:ascii="Times New Roman" w:hAnsi="Times New Roman"/>
                <w:sz w:val="28"/>
                <w:szCs w:val="28"/>
              </w:rPr>
              <w:t xml:space="preserve">Ожидаемые результаты   </w:t>
              <w:br/>
              <w:t xml:space="preserve">реализации программы           </w:t>
            </w:r>
          </w:p>
        </w:tc>
        <w:tc>
          <w:tcPr>
            <w:tcW w:w="6524"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8"/>
                <w:szCs w:val="28"/>
              </w:rPr>
              <w:t>Повышение качества проводимых ремонтных работ, работ по реконструкции, строительству на муниципальных объектах</w:t>
            </w:r>
            <w:r>
              <w:rPr>
                <w:rFonts w:cs="Times New Roman" w:ascii="Times New Roman" w:hAnsi="Times New Roman"/>
                <w:sz w:val="24"/>
                <w:szCs w:val="24"/>
              </w:rPr>
              <w:t>.</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
        </w:numPr>
        <w:spacing w:lineRule="auto" w:line="240" w:before="0" w:after="0"/>
        <w:jc w:val="center"/>
        <w:outlineLvl w:val="1"/>
        <w:rPr>
          <w:rFonts w:ascii="Times New Roman" w:hAnsi="Times New Roman" w:cs="Times New Roman"/>
          <w:b/>
          <w:b/>
          <w:bCs/>
          <w:sz w:val="28"/>
          <w:szCs w:val="28"/>
        </w:rPr>
      </w:pPr>
      <w:r>
        <w:rPr>
          <w:rFonts w:cs="Times New Roman" w:ascii="Times New Roman" w:hAnsi="Times New Roman"/>
          <w:b/>
          <w:bCs/>
          <w:sz w:val="28"/>
          <w:szCs w:val="28"/>
        </w:rPr>
        <w:t>Характеристика проблемы и обоснование необходимости решения ее программными методами</w:t>
      </w:r>
    </w:p>
    <w:p>
      <w:pPr>
        <w:pStyle w:val="Normal"/>
        <w:numPr>
          <w:ilvl w:val="0"/>
          <w:numId w:val="0"/>
        </w:numPr>
        <w:spacing w:lineRule="auto" w:line="240" w:before="0" w:after="0"/>
        <w:ind w:left="720" w:hanging="0"/>
        <w:outlineLvl w:val="1"/>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Некоммерческой организацией «Фонд капитального ремонта многоквартирных домов Владимирской области» проводятся  торги на выбор организаций на осуществление строительного контроля при выполнении работ по капитальному ремонту  многоквартирных домов. МКУ «ГКМХ» выступает участником  таких торгов, а затем организацией, осуществляющей  строительный контроль при выполнении  работ по капитальному ремонту многоквартирных домов по результатам торгов. МКУ «ГКМХ»  также заключаются договоры  с другими организациями на осуществление строительного контроля.</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Актуальность разработки Программы обусловлена как социальными, так и  экономическими факторами.  Так как МКУ «ГКМХ» является муниципальным казенным учреждением, все доходы, полученные в результате выполнения работ по заключенным возмездным договорам, перечисляются в доход местного бюджета.  Следовательно, для выполнения программных мероприятий необходимо привлечение бюджетных финансовых средств, объем которых  не должен превышать доходов, полученных МКУ «ГКМХ» за услуги  по   строительному  контролю при выполнении работ по капитальному ремонту  многоквартирных домов.</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МКУ «ГКМХ» также заключаются  соглашения на осуществление строительного контроля с учреждениями, финансируемыми из бюджета ЗАТО г. Радужный. Такие соглашения являются безвозмездными.</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color w:val="000000"/>
          <w:sz w:val="28"/>
          <w:szCs w:val="28"/>
        </w:rPr>
        <w:t>2.Основные цели, задачи</w:t>
      </w:r>
      <w:r>
        <w:rPr>
          <w:rFonts w:cs="Times New Roman" w:ascii="Times New Roman" w:hAnsi="Times New Roman"/>
          <w:b/>
          <w:bCs/>
          <w:sz w:val="28"/>
          <w:szCs w:val="28"/>
        </w:rPr>
        <w:t xml:space="preserve"> показатели (индикаторы) их достижения, основные ожидаемые конечные результаты подпрограммы, сроки и этапы ее реализации</w:t>
      </w:r>
    </w:p>
    <w:p>
      <w:pPr>
        <w:pStyle w:val="Normal"/>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 xml:space="preserve">Цель Программы: </w:t>
      </w:r>
      <w:r>
        <w:rPr>
          <w:rFonts w:cs="Times New Roman" w:ascii="Times New Roman" w:hAnsi="Times New Roman"/>
          <w:sz w:val="28"/>
          <w:szCs w:val="28"/>
          <w:lang w:eastAsia="ru-RU"/>
        </w:rPr>
        <w:t xml:space="preserve">Осуществление строительного контроля  в полном соответствии с требованиями действующего законодательства.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Задачи: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Соблюдение  подрядными организациями качества выполняемых работ по ремонту, в том числе и капитальному, на объектах в полном соответствии со сметной документацией, строительными нормами и правилами.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Исключение несоответствия по качеству работ, поставок, технологической дисциплине.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Сроки реализации подпрограммы 2017-2025 годы, 1 этап – 2017 год; 2 этап – 2018 год, 3 этап – 2019 год, 4 этап – 2020 год, 5 этап – 2021 год, 6 этап – 2022 год, 7 этап – 2023 год, 8 этап -2024 год, 9 этап -2025 год.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Показатели (индикаторы)</w:t>
      </w:r>
    </w:p>
    <w:p>
      <w:pPr>
        <w:pStyle w:val="Normal"/>
        <w:rPr>
          <w:rFonts w:ascii="Times New Roman" w:hAnsi="Times New Roman" w:cs="Times New Roman"/>
          <w:sz w:val="28"/>
          <w:szCs w:val="28"/>
          <w:lang w:eastAsia="ru-RU"/>
        </w:rPr>
      </w:pPr>
      <w:r>
        <w:rPr>
          <w:rFonts w:cs="Times New Roman" w:ascii="Times New Roman" w:hAnsi="Times New Roman"/>
          <w:sz w:val="28"/>
          <w:szCs w:val="28"/>
        </w:rPr>
        <w:t xml:space="preserve">выполнения подпрограммы по </w:t>
      </w:r>
      <w:r>
        <w:rPr>
          <w:rFonts w:cs="Times New Roman" w:ascii="Times New Roman" w:hAnsi="Times New Roman"/>
          <w:sz w:val="28"/>
          <w:szCs w:val="28"/>
          <w:lang w:eastAsia="ru-RU"/>
        </w:rPr>
        <w:t xml:space="preserve">осуществлению строительного контроля  </w:t>
      </w:r>
    </w:p>
    <w:tbl>
      <w:tblPr>
        <w:tblStyle w:val="ac"/>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1276"/>
        <w:gridCol w:w="1276"/>
        <w:gridCol w:w="1275"/>
        <w:gridCol w:w="1134"/>
        <w:gridCol w:w="1135"/>
        <w:gridCol w:w="1274"/>
      </w:tblGrid>
      <w:tr>
        <w:trPr/>
        <w:tc>
          <w:tcPr>
            <w:tcW w:w="2376" w:type="dxa"/>
            <w:vMerge w:val="restart"/>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Наименование показателя</w:t>
            </w:r>
          </w:p>
        </w:tc>
        <w:tc>
          <w:tcPr>
            <w:tcW w:w="1276" w:type="dxa"/>
            <w:vMerge w:val="restart"/>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Ед. измерения</w:t>
            </w:r>
          </w:p>
        </w:tc>
        <w:tc>
          <w:tcPr>
            <w:tcW w:w="1276" w:type="dxa"/>
            <w:vMerge w:val="restart"/>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Отчетный год</w:t>
            </w:r>
          </w:p>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2021</w:t>
            </w:r>
          </w:p>
        </w:tc>
        <w:tc>
          <w:tcPr>
            <w:tcW w:w="1275" w:type="dxa"/>
            <w:vMerge w:val="restart"/>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Текущий год</w:t>
            </w:r>
          </w:p>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2022</w:t>
            </w:r>
          </w:p>
        </w:tc>
        <w:tc>
          <w:tcPr>
            <w:tcW w:w="3543" w:type="dxa"/>
            <w:gridSpan w:val="3"/>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Плановый период реализации подпрограммы</w:t>
            </w:r>
          </w:p>
        </w:tc>
      </w:tr>
      <w:tr>
        <w:trPr/>
        <w:tc>
          <w:tcPr>
            <w:tcW w:w="2376" w:type="dxa"/>
            <w:vMerge w:val="continue"/>
            <w:tcBorders/>
          </w:tcPr>
          <w:p>
            <w:pPr>
              <w:pStyle w:val="Normal"/>
              <w:widowControl/>
              <w:spacing w:before="0" w:after="200"/>
              <w:jc w:val="left"/>
              <w:rPr>
                <w:rFonts w:ascii="Times New Roman" w:hAnsi="Times New Roman" w:cs="Times New Roman"/>
              </w:rPr>
            </w:pPr>
            <w:r>
              <w:rPr>
                <w:rFonts w:eastAsia="Calibri" w:cs="Times New Roman" w:ascii="Times New Roman" w:hAnsi="Times New Roman"/>
                <w:kern w:val="0"/>
                <w:lang w:val="ru-RU" w:bidi="ar-SA"/>
              </w:rPr>
            </w:r>
          </w:p>
        </w:tc>
        <w:tc>
          <w:tcPr>
            <w:tcW w:w="1276" w:type="dxa"/>
            <w:vMerge w:val="continue"/>
            <w:tcBorders/>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r>
          </w:p>
        </w:tc>
        <w:tc>
          <w:tcPr>
            <w:tcW w:w="1276" w:type="dxa"/>
            <w:vMerge w:val="continue"/>
            <w:tcBorders/>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r>
          </w:p>
        </w:tc>
        <w:tc>
          <w:tcPr>
            <w:tcW w:w="1275" w:type="dxa"/>
            <w:vMerge w:val="continue"/>
            <w:tcBorders/>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r>
          </w:p>
        </w:tc>
        <w:tc>
          <w:tcPr>
            <w:tcW w:w="1134"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2023</w:t>
            </w:r>
          </w:p>
        </w:tc>
        <w:tc>
          <w:tcPr>
            <w:tcW w:w="1135"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2024</w:t>
            </w:r>
          </w:p>
        </w:tc>
        <w:tc>
          <w:tcPr>
            <w:tcW w:w="1274"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2025</w:t>
            </w:r>
          </w:p>
        </w:tc>
      </w:tr>
      <w:tr>
        <w:trPr/>
        <w:tc>
          <w:tcPr>
            <w:tcW w:w="2376" w:type="dxa"/>
            <w:tcBorders/>
          </w:tcPr>
          <w:p>
            <w:pPr>
              <w:pStyle w:val="Normal"/>
              <w:widowControl/>
              <w:spacing w:before="0" w:after="200"/>
              <w:jc w:val="left"/>
              <w:rPr>
                <w:rFonts w:ascii="Times New Roman" w:hAnsi="Times New Roman" w:cs="Times New Roman"/>
              </w:rPr>
            </w:pPr>
            <w:r>
              <w:rPr>
                <w:rFonts w:eastAsia="Calibri" w:cs="Times New Roman" w:ascii="Times New Roman" w:hAnsi="Times New Roman"/>
                <w:kern w:val="0"/>
                <w:lang w:val="ru-RU" w:bidi="ar-SA"/>
              </w:rPr>
              <w:t>Количество заключенных  МКУ «ГКМХ» договоров, соглашений на осуществление строительного контроля с организациями, учреждениями</w:t>
            </w:r>
          </w:p>
        </w:tc>
        <w:tc>
          <w:tcPr>
            <w:tcW w:w="1276"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шт.</w:t>
            </w:r>
          </w:p>
        </w:tc>
        <w:tc>
          <w:tcPr>
            <w:tcW w:w="1276"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1</w:t>
            </w:r>
          </w:p>
        </w:tc>
        <w:tc>
          <w:tcPr>
            <w:tcW w:w="1275"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1</w:t>
            </w:r>
          </w:p>
        </w:tc>
        <w:tc>
          <w:tcPr>
            <w:tcW w:w="1134"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1</w:t>
            </w:r>
          </w:p>
        </w:tc>
        <w:tc>
          <w:tcPr>
            <w:tcW w:w="1135"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1</w:t>
            </w:r>
          </w:p>
        </w:tc>
        <w:tc>
          <w:tcPr>
            <w:tcW w:w="1274" w:type="dxa"/>
            <w:tcBorders/>
            <w:vAlign w:val="center"/>
          </w:tcPr>
          <w:p>
            <w:pPr>
              <w:pStyle w:val="Normal"/>
              <w:widowControl/>
              <w:spacing w:before="0" w:after="200"/>
              <w:jc w:val="center"/>
              <w:rPr>
                <w:rFonts w:ascii="Times New Roman" w:hAnsi="Times New Roman" w:cs="Times New Roman"/>
              </w:rPr>
            </w:pPr>
            <w:r>
              <w:rPr>
                <w:rFonts w:eastAsia="Calibri" w:cs="Times New Roman" w:ascii="Times New Roman" w:hAnsi="Times New Roman"/>
                <w:kern w:val="0"/>
                <w:lang w:val="ru-RU" w:bidi="ar-SA"/>
              </w:rPr>
              <w:t>1</w:t>
            </w:r>
          </w:p>
        </w:tc>
      </w:tr>
    </w:tbl>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ind w:firstLine="709"/>
        <w:jc w:val="center"/>
        <w:outlineLvl w:val="1"/>
        <w:rPr>
          <w:rFonts w:ascii="Times New Roman" w:hAnsi="Times New Roman" w:cs="Times New Roman"/>
          <w:b/>
          <w:b/>
          <w:bCs/>
          <w:sz w:val="28"/>
          <w:szCs w:val="28"/>
        </w:rPr>
      </w:pPr>
      <w:r>
        <w:rPr>
          <w:rFonts w:cs="Times New Roman" w:ascii="Times New Roman" w:hAnsi="Times New Roman"/>
          <w:b/>
          <w:bCs/>
          <w:sz w:val="28"/>
          <w:szCs w:val="28"/>
        </w:rPr>
        <w:t>3. Ресурсное обеспечение реализации подпрограммы</w:t>
      </w:r>
    </w:p>
    <w:tbl>
      <w:tblPr>
        <w:tblpPr w:bottomFromText="0" w:horzAnchor="margin" w:leftFromText="180" w:rightFromText="180" w:tblpX="40" w:tblpY="135" w:topFromText="0" w:vertAnchor="text"/>
        <w:tblW w:w="9750"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460"/>
        <w:gridCol w:w="2202"/>
        <w:gridCol w:w="709"/>
        <w:gridCol w:w="1559"/>
        <w:gridCol w:w="568"/>
        <w:gridCol w:w="850"/>
        <w:gridCol w:w="1417"/>
        <w:gridCol w:w="568"/>
        <w:gridCol w:w="1416"/>
      </w:tblGrid>
      <w:tr>
        <w:trPr>
          <w:trHeight w:val="200" w:hRule="atLeast"/>
        </w:trPr>
        <w:tc>
          <w:tcPr>
            <w:tcW w:w="4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п/п</w:t>
            </w:r>
          </w:p>
        </w:tc>
        <w:tc>
          <w:tcPr>
            <w:tcW w:w="22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Наименование подпрограммы</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Срок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Исполнения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(год)</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Объем финансирования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(тыс. руб.)</w:t>
            </w:r>
          </w:p>
        </w:tc>
        <w:tc>
          <w:tcPr>
            <w:tcW w:w="28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В том числе:</w:t>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Внебюджетные средства</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Исполнители,</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соисполнители,</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ответственные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за реализацию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программы</w:t>
            </w:r>
          </w:p>
        </w:tc>
      </w:tr>
      <w:tr>
        <w:trPr>
          <w:trHeight w:val="268" w:hRule="atLeast"/>
        </w:trPr>
        <w:tc>
          <w:tcPr>
            <w:tcW w:w="4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2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Субвенции</w:t>
            </w:r>
          </w:p>
        </w:tc>
        <w:tc>
          <w:tcPr>
            <w:tcW w:w="22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Собственных доходов:</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rHeight w:val="335" w:hRule="atLeast"/>
        </w:trPr>
        <w:tc>
          <w:tcPr>
            <w:tcW w:w="4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2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Субсидии,</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иные межбюджетные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трансферты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Другие собственные доходы</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rHeight w:val="2125" w:hRule="atLeast"/>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t>1.</w:t>
            </w:r>
          </w:p>
        </w:tc>
        <w:tc>
          <w:tcPr>
            <w:tcW w:w="22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18"/>
                <w:szCs w:val="18"/>
              </w:rPr>
            </w:pPr>
            <w:r>
              <w:rPr>
                <w:rFonts w:cs="Times New Roman" w:ascii="Times New Roman" w:hAnsi="Times New Roman"/>
                <w:sz w:val="18"/>
                <w:szCs w:val="1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Всего: 2017-2025 годы</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rPr>
            </w:pPr>
            <w:r>
              <w:rPr>
                <w:rFonts w:cs="Times New Roman"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t>МКУ «ГКМХ»</w:t>
            </w:r>
          </w:p>
        </w:tc>
      </w:tr>
      <w:tr>
        <w:trPr>
          <w:trHeight w:val="673" w:hRule="atLeast"/>
        </w:trPr>
        <w:tc>
          <w:tcPr>
            <w:tcW w:w="4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В том числе по годам</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2017</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22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2018</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22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2019</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2021</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4. Мероприятия подпрограммы</w:t>
      </w:r>
    </w:p>
    <w:p>
      <w:pPr>
        <w:pStyle w:val="Normal"/>
        <w:jc w:val="both"/>
        <w:rPr>
          <w:rFonts w:ascii="Times New Roman" w:hAnsi="Times New Roman" w:cs="Times New Roman"/>
          <w:sz w:val="28"/>
          <w:szCs w:val="28"/>
        </w:rPr>
      </w:pPr>
      <w:r>
        <w:rPr>
          <w:rFonts w:cs="Times New Roman" w:ascii="Times New Roman" w:hAnsi="Times New Roman"/>
          <w:sz w:val="28"/>
          <w:szCs w:val="28"/>
        </w:rPr>
        <w:t>Перечень мероприятий подпрограммы представлен в приложении подпрограмме.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t>Подпрограмма</w:t>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sz w:val="28"/>
          <w:szCs w:val="28"/>
        </w:rPr>
        <w:t xml:space="preserve">«Финансовое оздоровление муниципальных унитарных предприятий,  учредителем которых является администрация </w:t>
      </w:r>
      <w:r>
        <w:rPr>
          <w:rFonts w:cs="Times New Roman" w:ascii="Times New Roman" w:hAnsi="Times New Roman"/>
          <w:bCs/>
          <w:sz w:val="28"/>
          <w:szCs w:val="28"/>
        </w:rPr>
        <w:t xml:space="preserve">ЗАТО г. Радужный </w:t>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t>Паспорт подпрограммы</w:t>
      </w:r>
    </w:p>
    <w:tbl>
      <w:tblPr>
        <w:tblpPr w:bottomFromText="0" w:horzAnchor="margin" w:leftFromText="180" w:rightFromText="180" w:tblpX="0" w:tblpY="462" w:topFromText="0" w:vertAnchor="text"/>
        <w:tblW w:w="9627" w:type="dxa"/>
        <w:jc w:val="left"/>
        <w:tblInd w:w="-5" w:type="dxa"/>
        <w:tblLayout w:type="fixed"/>
        <w:tblCellMar>
          <w:top w:w="62" w:type="dxa"/>
          <w:left w:w="102" w:type="dxa"/>
          <w:bottom w:w="102" w:type="dxa"/>
          <w:right w:w="62" w:type="dxa"/>
        </w:tblCellMar>
        <w:tblLook w:firstRow="1" w:noVBand="1" w:lastRow="0" w:firstColumn="1" w:lastColumn="0" w:noHBand="0" w:val="04a0"/>
      </w:tblPr>
      <w:tblGrid>
        <w:gridCol w:w="2941"/>
        <w:gridCol w:w="6685"/>
      </w:tblGrid>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Наименование  подпрограммы </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«Финансовое оздоровление муниципальных унитарных предприятий,  учредителем которых является администрация </w:t>
            </w:r>
            <w:r>
              <w:rPr>
                <w:rFonts w:cs="Times New Roman" w:ascii="Times New Roman" w:hAnsi="Times New Roman"/>
                <w:bCs/>
                <w:sz w:val="28"/>
                <w:szCs w:val="28"/>
              </w:rPr>
              <w:t>ЗАТО г. Радужный Владимирской области</w:t>
            </w:r>
            <w:r>
              <w:rPr>
                <w:rFonts w:cs="Times New Roman" w:ascii="Times New Roman" w:hAnsi="Times New Roman"/>
                <w:sz w:val="28"/>
                <w:szCs w:val="28"/>
              </w:rPr>
              <w:t>»</w:t>
            </w:r>
          </w:p>
        </w:tc>
      </w:tr>
      <w:tr>
        <w:trPr>
          <w:trHeight w:val="964"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Ответственный исполнитель подпрограммы</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8"/>
                <w:szCs w:val="28"/>
              </w:rPr>
            </w:pPr>
            <w:r>
              <w:rPr>
                <w:rFonts w:cs="Times New Roman" w:ascii="Times New Roman" w:hAnsi="Times New Roman"/>
                <w:sz w:val="28"/>
                <w:szCs w:val="28"/>
              </w:rPr>
              <w:t xml:space="preserve">МКУ «ГКМХ»   </w:t>
            </w:r>
          </w:p>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Финансовое управление администрации ЗАТО г. Радужный                        </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Цели подпрограммы</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 (далее -  МУП)</w:t>
            </w:r>
          </w:p>
        </w:tc>
      </w:tr>
      <w:tr>
        <w:trPr>
          <w:trHeight w:val="2315"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Задачи подпрограммы</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Разработка поэтапных действий:</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w:t>
            </w:r>
            <w:r>
              <w:rPr>
                <w:rFonts w:cs="Times New Roman" w:ascii="Times New Roman" w:hAnsi="Times New Roman"/>
                <w:color w:val="000000"/>
                <w:sz w:val="28"/>
                <w:szCs w:val="28"/>
                <w:shd w:fill="FFFFFF" w:val="clear"/>
              </w:rPr>
              <w:t xml:space="preserve"> ЗАТО г. Радужный,</w:t>
            </w:r>
            <w:r>
              <w:rPr>
                <w:rFonts w:cs="Times New Roman" w:ascii="Times New Roman" w:hAnsi="Times New Roman"/>
                <w:sz w:val="28"/>
                <w:szCs w:val="28"/>
              </w:rPr>
              <w:t xml:space="preserve"> </w:t>
            </w:r>
          </w:p>
          <w:p>
            <w:pPr>
              <w:pStyle w:val="Normal"/>
              <w:widowControl w:val="false"/>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sz w:val="28"/>
                <w:szCs w:val="28"/>
              </w:rPr>
              <w:t>-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w:t>
            </w:r>
          </w:p>
          <w:p>
            <w:pPr>
              <w:pStyle w:val="Normal"/>
              <w:widowControl w:val="false"/>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 подпрограммы</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Снижение кредиторской задолженности по договорам предприятия (денежным обязательствам), заключенным в ходе его уставной деятельности, обязательным платежам в бюджетную систему Российской Федерации, просроченным более чем на 1 месяц;</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С</w:t>
            </w:r>
            <w:r>
              <w:rPr>
                <w:rFonts w:eastAsia="Times New Roman" w:cs="Times New Roman" w:ascii="Times New Roman" w:hAnsi="Times New Roman"/>
                <w:sz w:val="28"/>
                <w:szCs w:val="28"/>
                <w:lang w:eastAsia="ru-RU"/>
              </w:rPr>
              <w:t xml:space="preserve">нижение дебиторской задолженности по договорам (денежным обязательствам)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r>
              <w:rPr>
                <w:rFonts w:eastAsia="Times New Roman" w:cs="Times New Roman" w:ascii="Times New Roman" w:hAnsi="Times New Roman"/>
                <w:sz w:val="28"/>
                <w:szCs w:val="28"/>
                <w:lang w:eastAsia="ru-RU"/>
              </w:rPr>
              <w:t>, заключенным в ходе их уставной деятельности, обязательным платежам в бюджетную систему Российской Федерации, просроченным более чем на 1 месяц.</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tc>
      </w:tr>
      <w:tr>
        <w:trPr>
          <w:trHeight w:val="100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Этапы и сроки реализации подпрограммы</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2020 - 2025  годы,   1 этап – 2020 год, 2 этап – 2021 год,  3 этап – 2022 год, 4 этап – 2023 год, 5 этап -2024 год, 6 этап – 2025 год.</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подпрограммы, в том числе по годам </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Объем финансирования подпрограммы составляет  8527,35881 тыс. руб., в том числе по годам: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2020 год –  5627,35881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2021 год –  2900,0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2022 год –  0 тыс. руб.,  2023 год  –  0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год   – 0 тыс. руб., 2025 год – 0 тыс. руб.</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Ожидаемые результаты реализации подпрограммы</w:t>
            </w:r>
          </w:p>
        </w:tc>
        <w:tc>
          <w:tcPr>
            <w:tcW w:w="6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 xml:space="preserve">- Восстановление платежеспособности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Исключение банкротства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p>
        </w:tc>
      </w:tr>
    </w:tbl>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bCs/>
          <w:sz w:val="28"/>
          <w:szCs w:val="28"/>
        </w:rPr>
        <w:t xml:space="preserve">1.Характеристика проблемы и обоснование необходимости решения </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ее программными методами</w:t>
      </w:r>
    </w:p>
    <w:p>
      <w:pPr>
        <w:pStyle w:val="Normal"/>
        <w:numPr>
          <w:ilvl w:val="0"/>
          <w:numId w:val="0"/>
        </w:numPr>
        <w:spacing w:lineRule="auto" w:line="240" w:before="0" w:after="0"/>
        <w:ind w:left="36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both"/>
        <w:rPr>
          <w:rFonts w:ascii="Times New Roman" w:hAnsi="Times New Roman" w:cs="Times New Roman"/>
          <w:iCs/>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Настоящая подпрограмма направлена на повышение </w:t>
      </w:r>
      <w:r>
        <w:rPr>
          <w:rFonts w:cs="Times New Roman" w:ascii="Times New Roman" w:hAnsi="Times New Roman"/>
          <w:sz w:val="28"/>
          <w:szCs w:val="28"/>
          <w:lang w:eastAsia="zh-CN"/>
        </w:rPr>
        <w:t xml:space="preserve">финансовой устойчивости </w:t>
      </w:r>
      <w:r>
        <w:rPr>
          <w:rFonts w:cs="Times New Roman" w:ascii="Times New Roman" w:hAnsi="Times New Roman"/>
          <w:iCs/>
          <w:sz w:val="28"/>
          <w:szCs w:val="28"/>
        </w:rPr>
        <w:t>муниципальных унитарных предприятий,  учредителем которых является администрация ЗАТО г. Радужный Владимирской области.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Настоящая подпрограмма разработана в соответствии с постановлением администрации ЗАТО г. Радужный Владимирской области от 05.02.2020 № 149 «Об утверждении Плана мероприятий по оздоровлению муниципальных унитарных предприятий ЗАТО г. Радужный Владимирской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Правовую основу подрограммы составляют:</w:t>
      </w:r>
    </w:p>
    <w:p>
      <w:pPr>
        <w:pStyle w:val="ConsPlusNonformat"/>
        <w:widowControl/>
        <w:numPr>
          <w:ilvl w:val="0"/>
          <w:numId w:val="3"/>
        </w:numPr>
        <w:ind w:left="0" w:firstLine="709"/>
        <w:jc w:val="both"/>
        <w:rPr>
          <w:rFonts w:ascii="Times New Roman" w:hAnsi="Times New Roman" w:cs="Times New Roman"/>
          <w:sz w:val="28"/>
          <w:szCs w:val="28"/>
        </w:rPr>
      </w:pPr>
      <w:r>
        <w:rPr>
          <w:rFonts w:cs="Times New Roman" w:ascii="Times New Roman" w:hAnsi="Times New Roman"/>
          <w:sz w:val="28"/>
          <w:szCs w:val="28"/>
        </w:rPr>
        <w:t xml:space="preserve">Федеральный  </w:t>
      </w:r>
      <w:hyperlink r:id="rId11">
        <w:r>
          <w:rPr>
            <w:rFonts w:cs="Times New Roman" w:ascii="Times New Roman" w:hAnsi="Times New Roman"/>
            <w:sz w:val="28"/>
            <w:szCs w:val="28"/>
          </w:rPr>
          <w:t>закон</w:t>
        </w:r>
      </w:hyperlink>
      <w:r>
        <w:rPr>
          <w:rFonts w:cs="Times New Roman" w:ascii="Times New Roman" w:hAnsi="Times New Roman"/>
          <w:sz w:val="28"/>
          <w:szCs w:val="28"/>
        </w:rPr>
        <w:t xml:space="preserve"> от 06.10.2003 N 131-ФЗ  «Об общих принципах организации  местного самоуправления в Российской Федерации»,</w:t>
      </w:r>
    </w:p>
    <w:p>
      <w:pPr>
        <w:pStyle w:val="Normal"/>
        <w:numPr>
          <w:ilvl w:val="0"/>
          <w:numId w:val="3"/>
        </w:numPr>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26.10.2002 N 127-ФЗ «О несостоятельности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(банкротстве)», </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w:t>
        <w:tab/>
        <w:t>Бюджетный кодекс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Разработка данной Программы необходима в целях возмещения затрат, связанных с производством (реализацией) товаров, выполнением работ, оказанием услуг, направленных на погашение денежных обязательств и обязательных платежей для предупреждения банкротства и восстановления платежеспособности МУП (санации), в рамках предусмотренных статьями 30, 31 Федерального закона от 26 октября 2002 года № 127-ФЗ «О несостоятельности (банкротстве)» обязанностей собственника муниципального унитарного предприятия по предупреждению банкротства организаций.</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Муниципальными унитарными предприятиями ЗАТО г. Радужный  являются: муниципальное унитарное предприятие «Жилищно-коммунальное хозяйство ЗАТО г. Радужный Владимирской области» (далее  ─  МУП «ЖКХ»), муниципальное унитарное предприятие водопроводных, канализационных, тепловых сетей ЗАТО г. Радужный Владимирской области (далее – МУП ВКТС),</w:t>
      </w:r>
      <w:r>
        <w:rPr>
          <w:rFonts w:cs="Times New Roman" w:ascii="Times New Roman" w:hAnsi="Times New Roman"/>
          <w:sz w:val="28"/>
          <w:szCs w:val="28"/>
          <w:lang w:eastAsia="ru-RU"/>
        </w:rPr>
        <w:t xml:space="preserve"> муниципальное унитарное предприятие «Автотранспортные перевозки ЗАТО г. Радужный» Владимирской области (далее по тексту - МУП «АТП»),</w:t>
      </w:r>
      <w:r>
        <w:rPr>
          <w:rFonts w:eastAsia="Times New Roman" w:cs="Times New Roman" w:ascii="Times New Roman" w:hAnsi="Times New Roman"/>
          <w:sz w:val="28"/>
          <w:szCs w:val="28"/>
          <w:lang w:eastAsia="ru-RU"/>
        </w:rPr>
        <w:t xml:space="preserve"> муниципальное унитарное предприятие  Кафе «Радужное» (далее – МУП Кафе «Радужное».</w:t>
      </w:r>
    </w:p>
    <w:p>
      <w:pPr>
        <w:pStyle w:val="NormalWeb"/>
        <w:shd w:val="clear" w:color="auto" w:fill="FFFFFF"/>
        <w:spacing w:beforeAutospacing="0" w:before="0" w:afterAutospacing="0" w:after="0"/>
        <w:ind w:firstLine="567"/>
        <w:jc w:val="both"/>
        <w:textAlignment w:val="baseline"/>
        <w:rPr>
          <w:sz w:val="28"/>
          <w:szCs w:val="28"/>
        </w:rPr>
      </w:pPr>
      <w:r>
        <w:rPr>
          <w:sz w:val="28"/>
          <w:szCs w:val="28"/>
        </w:rPr>
        <w:t>Органам местного самоуправления принадлежит особая роль в решении вопросов управления муниципальным имуществом на своей территории.</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Основу данных полномочий составляют положения п.4 ст. 51  Федерального закона от 06.10.2003 г. № 131-ФЗ «Об общих принципах организации местного самоуправления в Российской Федерации»,  в соответствии с которым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правовыми актами.</w:t>
      </w:r>
    </w:p>
    <w:p>
      <w:pPr>
        <w:pStyle w:val="NormalWeb"/>
        <w:shd w:val="clear" w:color="auto" w:fill="FFFFFF"/>
        <w:spacing w:beforeAutospacing="0" w:before="0" w:afterAutospacing="0" w:after="0"/>
        <w:ind w:firstLine="540"/>
        <w:jc w:val="both"/>
        <w:textAlignment w:val="baseline"/>
        <w:rPr>
          <w:sz w:val="28"/>
          <w:szCs w:val="28"/>
        </w:rPr>
      </w:pPr>
      <w:r>
        <w:rPr>
          <w:sz w:val="28"/>
          <w:szCs w:val="28"/>
        </w:rPr>
        <w:t>Особенностью данной группы полномочий является то, что они направлены на решение экономических, производственных, социально-бытовых вопросов и характеризуются самостоятельностью органов местного самоуправления в управлении соответствующими объектами муниципальной собственности, распоряжении средствами местного бюджета, создании и ликвидации муниципальных унитарных предприятий и т.д.</w:t>
      </w:r>
    </w:p>
    <w:p>
      <w:pPr>
        <w:pStyle w:val="Normal"/>
        <w:shd w:val="clear" w:color="auto" w:fill="FFFFFF"/>
        <w:spacing w:lineRule="auto" w:line="24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Организационно-правовая форма унитарного предприятия имеет свою специфику. </w:t>
      </w:r>
    </w:p>
    <w:p>
      <w:pPr>
        <w:pStyle w:val="Normal"/>
        <w:shd w:val="clear" w:color="auto" w:fill="FFFFFF"/>
        <w:spacing w:lineRule="auto" w:line="240"/>
        <w:ind w:firstLine="567"/>
        <w:jc w:val="both"/>
        <w:rPr>
          <w:rFonts w:ascii="Times New Roman" w:hAnsi="Times New Roman" w:cs="Times New Roman"/>
          <w:sz w:val="28"/>
          <w:szCs w:val="28"/>
        </w:rPr>
      </w:pPr>
      <w:r>
        <w:rPr>
          <w:rFonts w:cs="Times New Roman" w:ascii="Times New Roman" w:hAnsi="Times New Roman"/>
          <w:color w:val="000000"/>
          <w:sz w:val="28"/>
          <w:szCs w:val="28"/>
        </w:rPr>
        <w:t>С одной стороны, унитарное предприятие, являясь коммерческой организацией, на</w:t>
        <w:softHyphen/>
        <w:t>целено на извлечение прибыли. С другой — имущество, которым владеет это предприятие, принадлежит ему на ограниченном вещ</w:t>
        <w:softHyphen/>
        <w:t>ном праве (хозяйственного ведения либо оперативного управле</w:t>
        <w:softHyphen/>
        <w:t>ния).</w:t>
      </w:r>
    </w:p>
    <w:p>
      <w:pPr>
        <w:pStyle w:val="Normal"/>
        <w:widowControl w:val="false"/>
        <w:spacing w:lineRule="auto" w:line="240"/>
        <w:ind w:firstLine="540"/>
        <w:jc w:val="both"/>
        <w:rPr>
          <w:rFonts w:ascii="Times New Roman" w:hAnsi="Times New Roman" w:cs="Times New Roman"/>
          <w:sz w:val="28"/>
          <w:szCs w:val="28"/>
        </w:rPr>
      </w:pPr>
      <w:r>
        <w:rPr>
          <w:rFonts w:cs="Times New Roman" w:ascii="Times New Roman" w:hAnsi="Times New Roman"/>
          <w:sz w:val="28"/>
          <w:szCs w:val="28"/>
        </w:rPr>
        <w:t>В соответствии со ст.30 п.3 Федерального  закона  от 26.10.2002 N 127-ФЗ «О несостоятельности (банкротстве)» (далее - Закон о банкротстве) в целях предупреждения банкротства муниципальных унитарных предприятий  ЗАТО г. Радужный  администрация ЗАТО г. Радужный как учредитель до момента подачи в арбитражный суд заявления о признании должника банкротом должна предпринять меры, направленные на восстановление их платежеспособности. В соответствии со ст. 31 Закона о банкротстве учредитель  в рамках мер по предупреждению банкротства, в  том числе, может оказать  финансовую помощь.</w:t>
      </w:r>
    </w:p>
    <w:p>
      <w:pPr>
        <w:pStyle w:val="Normal"/>
        <w:widowControl w:val="false"/>
        <w:shd w:val="clear" w:color="auto" w:fill="FFFFFF" w:themeFill="background1"/>
        <w:spacing w:lineRule="auto" w:line="240"/>
        <w:ind w:firstLine="540"/>
        <w:jc w:val="both"/>
        <w:rPr>
          <w:rFonts w:ascii="Times New Roman" w:hAnsi="Times New Roman" w:cs="Times New Roman"/>
          <w:color w:val="000000"/>
          <w:spacing w:val="-2"/>
          <w:sz w:val="28"/>
          <w:szCs w:val="28"/>
        </w:rPr>
      </w:pPr>
      <w:r>
        <w:rPr>
          <w:rFonts w:cs="Times New Roman" w:ascii="Times New Roman" w:hAnsi="Times New Roman"/>
          <w:sz w:val="28"/>
          <w:szCs w:val="28"/>
        </w:rPr>
        <w:t>Учитывая важность для муниципального образования муниципальных унитарных предприятий, оказывающих нашему населению  жилищно-коммунальные услуги, транспортные услуги, услуги бытового характера,  в соответствии со ст. 78 Бюджетного кодекса Российской Федерации предприятию может предоставляться субсидия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pPr>
        <w:pStyle w:val="Normal"/>
        <w:spacing w:lineRule="auto" w:line="240"/>
        <w:ind w:firstLine="567"/>
        <w:jc w:val="both"/>
        <w:rPr>
          <w:rFonts w:ascii="Times New Roman" w:hAnsi="Times New Roman" w:cs="Times New Roman"/>
          <w:iCs/>
          <w:sz w:val="28"/>
          <w:szCs w:val="28"/>
        </w:rPr>
      </w:pPr>
      <w:r>
        <w:rPr>
          <w:rFonts w:cs="Times New Roman" w:ascii="Times New Roman" w:hAnsi="Times New Roman"/>
          <w:color w:val="000000"/>
          <w:spacing w:val="-2"/>
          <w:sz w:val="28"/>
          <w:szCs w:val="28"/>
        </w:rPr>
        <w:t>Предоставление субсидии (финансовой помощи)</w:t>
      </w:r>
      <w:r>
        <w:rPr>
          <w:rFonts w:cs="Times New Roman" w:ascii="Times New Roman" w:hAnsi="Times New Roman"/>
          <w:iCs/>
          <w:sz w:val="28"/>
          <w:szCs w:val="28"/>
        </w:rPr>
        <w:t xml:space="preserve"> для восстановления платежеспособности</w:t>
      </w:r>
      <w:r>
        <w:rPr>
          <w:rFonts w:cs="Times New Roman" w:ascii="Times New Roman" w:hAnsi="Times New Roman"/>
          <w:color w:val="000000"/>
          <w:spacing w:val="-2"/>
          <w:sz w:val="28"/>
          <w:szCs w:val="28"/>
        </w:rPr>
        <w:t xml:space="preserve"> муниципальных унитарных предприятий</w:t>
      </w:r>
      <w:r>
        <w:rPr>
          <w:rFonts w:cs="Times New Roman" w:ascii="Times New Roman" w:hAnsi="Times New Roman"/>
          <w:iCs/>
          <w:sz w:val="28"/>
          <w:szCs w:val="28"/>
        </w:rPr>
        <w:t xml:space="preserve"> ЗАТО г. Радужный определяется порядком, установленным администрацией ЗАТО г. Радужный.</w:t>
      </w:r>
    </w:p>
    <w:p>
      <w:pPr>
        <w:pStyle w:val="Normal"/>
        <w:spacing w:lineRule="auto" w:line="240"/>
        <w:ind w:firstLine="540"/>
        <w:jc w:val="both"/>
        <w:rPr>
          <w:rFonts w:ascii="Times New Roman" w:hAnsi="Times New Roman" w:cs="Times New Roman"/>
          <w:sz w:val="28"/>
          <w:szCs w:val="28"/>
        </w:rPr>
      </w:pPr>
      <w:r>
        <w:rPr>
          <w:rFonts w:cs="Times New Roman" w:ascii="Times New Roman" w:hAnsi="Times New Roman"/>
          <w:sz w:val="28"/>
          <w:szCs w:val="28"/>
        </w:rPr>
        <w:t>Реализация вышеуказанных направлений работы возможна посредством применения программного метода решения поставленных  задач.</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2.Основные цели,  задачи и показатели (индикаторы) их достижения, основные ожидаемые конечные результаты подпрограммы, сроки и этапы ее реализации</w:t>
      </w:r>
    </w:p>
    <w:p>
      <w:pPr>
        <w:pStyle w:val="Normal"/>
        <w:numPr>
          <w:ilvl w:val="0"/>
          <w:numId w:val="0"/>
        </w:numPr>
        <w:spacing w:lineRule="auto" w:line="240" w:before="0" w:after="0"/>
        <w:ind w:left="36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Основные цели подпрограммы: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  (далее МУП ЗАТО г. Радужный)</w:t>
      </w:r>
      <w:r>
        <w:rPr>
          <w:rFonts w:cs="Times New Roman" w:ascii="Times New Roman" w:hAnsi="Times New Roman"/>
          <w:sz w:val="28"/>
          <w:szCs w:val="28"/>
        </w:rPr>
        <w:t>.</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Основные задачи подпрограммы:</w:t>
      </w:r>
    </w:p>
    <w:p>
      <w:pPr>
        <w:pStyle w:val="Normal"/>
        <w:spacing w:lineRule="auto" w:line="240" w:before="0" w:after="0"/>
        <w:ind w:firstLine="54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-Разработка поэтапных действий: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а).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повышения качества;</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 xml:space="preserve">б). 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ЖКХ </w:t>
      </w:r>
      <w:r>
        <w:rPr>
          <w:rFonts w:cs="Times New Roman" w:ascii="Times New Roman" w:hAnsi="Times New Roman"/>
          <w:color w:val="000000"/>
          <w:sz w:val="28"/>
          <w:szCs w:val="28"/>
          <w:shd w:fill="FFFFFF" w:val="clear"/>
        </w:rPr>
        <w:t xml:space="preserve"> ЗАТО г. Радужный;</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ab/>
        <w:t xml:space="preserve">в).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Основными целевыми показателями (индикаторами) реализации муниципальной подпрограммы являются: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w:t>
      </w:r>
      <w:r>
        <w:rPr>
          <w:rFonts w:eastAsia="Times New Roman" w:cs="Times New Roman" w:ascii="Times New Roman" w:hAnsi="Times New Roman"/>
          <w:sz w:val="28"/>
          <w:szCs w:val="28"/>
          <w:lang w:eastAsia="ru-RU"/>
        </w:rPr>
        <w:t xml:space="preserve">нижение дебиторской задолженности по договорам (денежным обязательствам)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r>
        <w:rPr>
          <w:rFonts w:eastAsia="Times New Roman" w:cs="Times New Roman" w:ascii="Times New Roman" w:hAnsi="Times New Roman"/>
          <w:sz w:val="28"/>
          <w:szCs w:val="28"/>
          <w:lang w:eastAsia="ru-RU"/>
        </w:rPr>
        <w:t>, заключенным в ходе их уставной деятельности, обязательным платежам в бюджетную систему Российской Федерации, просроченным более чем на 1 месяц.</w:t>
      </w:r>
    </w:p>
    <w:p>
      <w:pPr>
        <w:pStyle w:val="PlainText"/>
        <w:tabs>
          <w:tab w:val="clear" w:pos="708"/>
          <w:tab w:val="left" w:pos="318" w:leader="none"/>
        </w:tabs>
        <w:ind w:left="-142" w:right="-142" w:hanging="0"/>
        <w:jc w:val="center"/>
        <w:rPr>
          <w:rFonts w:ascii="Times New Roman" w:hAnsi="Times New Roman"/>
          <w:color w:val="000000"/>
          <w:sz w:val="25"/>
          <w:szCs w:val="25"/>
        </w:rPr>
      </w:pPr>
      <w:r>
        <w:rPr>
          <w:rFonts w:ascii="Times New Roman" w:hAnsi="Times New Roman"/>
          <w:color w:val="000000"/>
          <w:sz w:val="28"/>
          <w:szCs w:val="28"/>
        </w:rPr>
        <w:t>Целевые показатели (индикаторы)  подпрограммы</w:t>
      </w:r>
      <w:r>
        <w:rPr>
          <w:rFonts w:ascii="Times New Roman" w:hAnsi="Times New Roman"/>
          <w:color w:val="000000"/>
          <w:sz w:val="25"/>
          <w:szCs w:val="25"/>
        </w:rPr>
        <w:t>:</w:t>
      </w:r>
    </w:p>
    <w:p>
      <w:pPr>
        <w:pStyle w:val="PlainText"/>
        <w:tabs>
          <w:tab w:val="clear" w:pos="708"/>
          <w:tab w:val="left" w:pos="318" w:leader="none"/>
        </w:tabs>
        <w:ind w:left="-142" w:right="-142" w:hanging="0"/>
        <w:jc w:val="center"/>
        <w:rPr>
          <w:rFonts w:ascii="Times New Roman" w:hAnsi="Times New Roman"/>
          <w:color w:val="000000"/>
          <w:sz w:val="25"/>
          <w:szCs w:val="25"/>
        </w:rPr>
      </w:pPr>
      <w:r>
        <w:rPr>
          <w:rFonts w:ascii="Times New Roman" w:hAnsi="Times New Roman"/>
          <w:color w:val="000000"/>
          <w:sz w:val="25"/>
          <w:szCs w:val="25"/>
        </w:rPr>
      </w:r>
    </w:p>
    <w:tbl>
      <w:tblPr>
        <w:tblW w:w="985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603"/>
        <w:gridCol w:w="248"/>
        <w:gridCol w:w="3191"/>
        <w:gridCol w:w="849"/>
        <w:gridCol w:w="851"/>
        <w:gridCol w:w="1276"/>
        <w:gridCol w:w="851"/>
        <w:gridCol w:w="991"/>
        <w:gridCol w:w="992"/>
      </w:tblGrid>
      <w:tr>
        <w:trPr/>
        <w:tc>
          <w:tcPr>
            <w:tcW w:w="6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4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Показатели (индикаторы)</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Ед.изм.</w:t>
            </w:r>
          </w:p>
        </w:tc>
        <w:tc>
          <w:tcPr>
            <w:tcW w:w="496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Значение показателя (индикатора)</w:t>
            </w:r>
          </w:p>
        </w:tc>
      </w:tr>
      <w:tr>
        <w:trPr>
          <w:trHeight w:val="630" w:hRule="atLeast"/>
        </w:trPr>
        <w:tc>
          <w:tcPr>
            <w:tcW w:w="6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3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Отчетный год</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Текущий год</w:t>
            </w:r>
          </w:p>
        </w:tc>
        <w:tc>
          <w:tcPr>
            <w:tcW w:w="28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sz w:val="24"/>
                <w:szCs w:val="24"/>
              </w:rPr>
            </w:pPr>
            <w:r>
              <w:rPr>
                <w:rFonts w:cs="Times New Roman" w:ascii="Times New Roman" w:hAnsi="Times New Roman"/>
                <w:sz w:val="24"/>
                <w:szCs w:val="24"/>
              </w:rPr>
              <w:t>Плановый период реализации подпрограммы</w:t>
            </w:r>
          </w:p>
        </w:tc>
      </w:tr>
      <w:tr>
        <w:trPr>
          <w:trHeight w:val="358" w:hRule="atLeast"/>
        </w:trPr>
        <w:tc>
          <w:tcPr>
            <w:tcW w:w="6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3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2023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2024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2025</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6</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8</w:t>
            </w:r>
          </w:p>
        </w:tc>
      </w:tr>
      <w:tr>
        <w:trPr>
          <w:trHeight w:val="452" w:hRule="atLeast"/>
        </w:trPr>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sz w:val="24"/>
                <w:szCs w:val="24"/>
              </w:rPr>
            </w:pPr>
            <w:r>
              <w:rPr>
                <w:rFonts w:cs="Times New Roman" w:ascii="Times New Roman" w:hAnsi="Times New Roman"/>
                <w:sz w:val="24"/>
                <w:szCs w:val="24"/>
              </w:rPr>
            </w:r>
          </w:p>
        </w:tc>
        <w:tc>
          <w:tcPr>
            <w:tcW w:w="900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cs="Times New Roman"/>
                <w:sz w:val="24"/>
                <w:szCs w:val="24"/>
              </w:rPr>
            </w:pPr>
            <w:r>
              <w:rPr>
                <w:rFonts w:cs="Times New Roman" w:ascii="Times New Roman" w:hAnsi="Times New Roman"/>
                <w:sz w:val="24"/>
                <w:szCs w:val="24"/>
              </w:rPr>
              <w:t xml:space="preserve">Отсутствие просроченной кредиторской задолженности </w:t>
            </w:r>
            <w:r>
              <w:rPr>
                <w:rFonts w:cs="Times New Roman" w:ascii="Times New Roman" w:hAnsi="Times New Roman"/>
                <w:sz w:val="24"/>
                <w:szCs w:val="24"/>
                <w:lang w:eastAsia="zh-CN"/>
              </w:rPr>
              <w:t xml:space="preserve"> МУП </w:t>
            </w:r>
            <w:r>
              <w:rPr>
                <w:rFonts w:cs="Times New Roman" w:ascii="Times New Roman" w:hAnsi="Times New Roman"/>
                <w:color w:val="000000"/>
                <w:sz w:val="24"/>
                <w:szCs w:val="24"/>
                <w:shd w:fill="FFFFFF" w:val="clear"/>
              </w:rPr>
              <w:t xml:space="preserve"> ЗАТО г. Радужный</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договорам (денежным обязательствам), заключенным в ходе их уставной деятельности,</w:t>
            </w:r>
          </w:p>
          <w:p>
            <w:pPr>
              <w:pStyle w:val="Normal"/>
              <w:widowControl w:val="false"/>
              <w:spacing w:lineRule="auto" w:line="240" w:before="0" w:after="0"/>
              <w:ind w:right="-7" w:hanging="0"/>
              <w:rPr>
                <w:rFonts w:ascii="Times New Roman" w:hAnsi="Times New Roman" w:cs="Times New Roman"/>
                <w:sz w:val="24"/>
                <w:szCs w:val="24"/>
              </w:rPr>
            </w:pPr>
            <w:r>
              <w:rPr>
                <w:rFonts w:eastAsia="Times New Roman" w:cs="Times New Roman" w:ascii="Times New Roman" w:hAnsi="Times New Roman"/>
                <w:sz w:val="24"/>
                <w:szCs w:val="24"/>
                <w:lang w:eastAsia="ru-RU"/>
              </w:rPr>
              <w:t>в том числе:</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«ЖКХ»</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rHeight w:val="45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ВКТС</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МУП «АТП» </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МУП Кафе «Радужное»</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2.</w:t>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7" w:hanging="0"/>
              <w:rPr>
                <w:rFonts w:ascii="Times New Roman" w:hAnsi="Times New Roman" w:cs="Times New Roman"/>
                <w:sz w:val="24"/>
                <w:szCs w:val="24"/>
              </w:rPr>
            </w:pPr>
            <w:r>
              <w:rPr>
                <w:rFonts w:eastAsia="Times New Roman" w:cs="Times New Roman" w:ascii="Times New Roman" w:hAnsi="Times New Roman"/>
                <w:sz w:val="24"/>
                <w:szCs w:val="24"/>
                <w:lang w:eastAsia="ru-RU"/>
              </w:rPr>
              <w:t>По обязательным платежам в бюджетную систему Российской Федерации,</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«ЖКХ»</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ВКТС</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МУП «АТП» </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МУП Кафе «Радужное»</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7" w:hanging="0"/>
              <w:jc w:val="center"/>
              <w:rPr>
                <w:rFonts w:ascii="Times New Roman" w:hAnsi="Times New Roman" w:cs="Times New Roman"/>
                <w:sz w:val="24"/>
                <w:szCs w:val="24"/>
              </w:rPr>
            </w:pPr>
            <w:r>
              <w:rPr>
                <w:rFonts w:cs="Times New Roman" w:ascii="Times New Roman" w:hAnsi="Times New Roman"/>
                <w:sz w:val="24"/>
                <w:szCs w:val="24"/>
              </w:rPr>
              <w:t>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Сроки реализации подпрограммы 2020-2025 годы: 1 этап – 2020 год,  2 этап – 2021 год, 3 этап – 2022 год, 4 этап – 2023 год, 5 этап – 2024 год, 6 этап -2025 год.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60" w:hanging="0"/>
        <w:jc w:val="center"/>
        <w:rPr>
          <w:rFonts w:ascii="Times New Roman" w:hAnsi="Times New Roman" w:cs="Times New Roman"/>
          <w:bCs/>
          <w:sz w:val="28"/>
          <w:szCs w:val="28"/>
        </w:rPr>
      </w:pPr>
      <w:r>
        <w:rPr>
          <w:rFonts w:cs="Times New Roman" w:ascii="Times New Roman" w:hAnsi="Times New Roman"/>
          <w:bCs/>
          <w:sz w:val="28"/>
          <w:szCs w:val="28"/>
        </w:rPr>
        <w:t>3.Ресурсное обеспечение реализации подпрограммы</w:t>
      </w:r>
    </w:p>
    <w:tbl>
      <w:tblPr>
        <w:tblpPr w:bottomFromText="0" w:horzAnchor="margin" w:leftFromText="180" w:rightFromText="180" w:tblpX="40" w:tblpY="135" w:topFromText="0" w:vertAnchor="text"/>
        <w:tblW w:w="9747"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459"/>
        <w:gridCol w:w="2200"/>
        <w:gridCol w:w="850"/>
        <w:gridCol w:w="1276"/>
        <w:gridCol w:w="568"/>
        <w:gridCol w:w="1558"/>
        <w:gridCol w:w="1277"/>
        <w:gridCol w:w="709"/>
        <w:gridCol w:w="849"/>
      </w:tblGrid>
      <w:tr>
        <w:trPr>
          <w:trHeight w:val="200" w:hRule="atLeast"/>
        </w:trPr>
        <w:tc>
          <w:tcPr>
            <w:tcW w:w="4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п/п</w:t>
            </w:r>
          </w:p>
        </w:tc>
        <w:tc>
          <w:tcPr>
            <w:tcW w:w="22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Наименование под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 xml:space="preserve">Срок </w:t>
            </w:r>
          </w:p>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Исполнения, (года)</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Объем финансирования</w:t>
            </w:r>
          </w:p>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(тыс. руб.)</w:t>
            </w:r>
          </w:p>
        </w:tc>
        <w:tc>
          <w:tcPr>
            <w:tcW w:w="34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bCs/>
                <w:sz w:val="18"/>
                <w:szCs w:val="18"/>
              </w:rPr>
            </w:pPr>
            <w:r>
              <w:rPr>
                <w:rFonts w:cs="Times New Roman" w:ascii="Times New Roman" w:hAnsi="Times New Roman"/>
                <w:b/>
                <w:bCs/>
                <w:sz w:val="18"/>
                <w:szCs w:val="18"/>
              </w:rPr>
              <w:t>В том числе:</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Внебюджетные средства</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Исполнители, соисполнители</w:t>
            </w:r>
          </w:p>
        </w:tc>
      </w:tr>
      <w:tr>
        <w:trPr>
          <w:trHeight w:val="268" w:hRule="atLeast"/>
        </w:trPr>
        <w:tc>
          <w:tcPr>
            <w:tcW w:w="4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2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Субвенции</w:t>
            </w:r>
          </w:p>
        </w:tc>
        <w:tc>
          <w:tcPr>
            <w:tcW w:w="28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18"/>
                <w:szCs w:val="18"/>
              </w:rPr>
            </w:pPr>
            <w:r>
              <w:rPr>
                <w:rFonts w:cs="Times New Roman" w:ascii="Times New Roman" w:hAnsi="Times New Roman"/>
                <w:sz w:val="18"/>
                <w:szCs w:val="18"/>
              </w:rPr>
              <w:t>Собственных доходов:</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r>
      <w:tr>
        <w:trPr>
          <w:trHeight w:val="335" w:hRule="atLeast"/>
        </w:trPr>
        <w:tc>
          <w:tcPr>
            <w:tcW w:w="4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2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Субсидии,</w:t>
            </w:r>
          </w:p>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 xml:space="preserve">иные межбюджетные </w:t>
            </w:r>
          </w:p>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трансферты</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Другие собственные доходы</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18"/>
                <w:szCs w:val="18"/>
              </w:rPr>
            </w:pPr>
            <w:r>
              <w:rPr>
                <w:rFonts w:cs="Times New Roman" w:ascii="Times New Roman" w:hAnsi="Times New Roman"/>
                <w:b/>
                <w:bCs/>
                <w:sz w:val="18"/>
                <w:szCs w:val="18"/>
              </w:rPr>
            </w:r>
          </w:p>
        </w:tc>
      </w:tr>
      <w:tr>
        <w:trPr>
          <w:trHeight w:val="244" w:hRule="atLeast"/>
        </w:trPr>
        <w:tc>
          <w:tcPr>
            <w:tcW w:w="4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1</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6</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9</w:t>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 xml:space="preserve">Подпрограмма  «Финансовое оздоровление муниципальных унитарных предприятий,  учредителем которых является администрация </w:t>
            </w:r>
            <w:r>
              <w:rPr>
                <w:rFonts w:cs="Times New Roman" w:ascii="Times New Roman" w:hAnsi="Times New Roman"/>
                <w:bCs/>
                <w:sz w:val="24"/>
                <w:szCs w:val="24"/>
              </w:rPr>
              <w:t>ЗАТО г. Радужный Владимирской области</w:t>
            </w:r>
            <w:r>
              <w:rPr>
                <w:rFonts w:cs="Times New Roman"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rHeight w:val="610" w:hRule="atLeast"/>
        </w:trPr>
        <w:tc>
          <w:tcPr>
            <w:tcW w:w="4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t>2020-2025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8527,35881</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8527,35881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rHeight w:val="551" w:hRule="atLeast"/>
        </w:trPr>
        <w:tc>
          <w:tcPr>
            <w:tcW w:w="459" w:type="dxa"/>
            <w:vMerge w:val="restart"/>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22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В том числе по годам</w:t>
            </w:r>
          </w:p>
        </w:tc>
        <w:tc>
          <w:tcPr>
            <w:tcW w:w="850" w:type="dxa"/>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5627,35881</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5627,35881</w:t>
            </w:r>
          </w:p>
        </w:tc>
        <w:tc>
          <w:tcPr>
            <w:tcW w:w="709" w:type="dxa"/>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200"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2021</w:t>
            </w:r>
          </w:p>
        </w:tc>
        <w:tc>
          <w:tcPr>
            <w:tcW w:w="127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2900,0</w:t>
            </w:r>
          </w:p>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2900,0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200"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2022</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200"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2023</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200"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2024</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220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2025</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bl>
    <w:p>
      <w:pPr>
        <w:pStyle w:val="Normal"/>
        <w:jc w:val="center"/>
        <w:rPr>
          <w:rFonts w:ascii="Times New Roman" w:hAnsi="Times New Roman" w:cs="Times New Roman"/>
          <w:bCs/>
          <w:sz w:val="28"/>
          <w:szCs w:val="28"/>
        </w:rPr>
      </w:pPr>
      <w:r>
        <w:rPr>
          <w:rFonts w:cs="Times New Roman" w:ascii="Times New Roman" w:hAnsi="Times New Roman"/>
          <w:bCs/>
          <w:sz w:val="28"/>
          <w:szCs w:val="28"/>
        </w:rPr>
      </w:r>
    </w:p>
    <w:p>
      <w:pPr>
        <w:pStyle w:val="Normal"/>
        <w:jc w:val="center"/>
        <w:rPr>
          <w:rFonts w:ascii="Times New Roman" w:hAnsi="Times New Roman" w:cs="Times New Roman"/>
          <w:bCs/>
          <w:sz w:val="28"/>
          <w:szCs w:val="28"/>
        </w:rPr>
      </w:pPr>
      <w:r>
        <w:rPr>
          <w:rFonts w:cs="Times New Roman" w:ascii="Times New Roman" w:hAnsi="Times New Roman"/>
          <w:bCs/>
          <w:sz w:val="28"/>
          <w:szCs w:val="28"/>
        </w:rPr>
        <w:t>4. Мероприятия подпрограммы</w:t>
      </w:r>
    </w:p>
    <w:p>
      <w:pPr>
        <w:pStyle w:val="Normal"/>
        <w:rPr>
          <w:rFonts w:ascii="Times New Roman" w:hAnsi="Times New Roman" w:cs="Times New Roman"/>
          <w:b/>
          <w:b/>
          <w:bCs/>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Перечень мероприятий подпрограммы представлен в приложении  к подпрограмме.</w:t>
      </w:r>
    </w:p>
    <w:p>
      <w:pPr>
        <w:pStyle w:val="Normal"/>
        <w:numPr>
          <w:ilvl w:val="0"/>
          <w:numId w:val="0"/>
        </w:numPr>
        <w:spacing w:lineRule="auto" w:line="240" w:before="0" w:after="0"/>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t>О. И. Будалова, т. 3 42 95</w:t>
      </w:r>
    </w:p>
    <w:sectPr>
      <w:type w:val="continuous"/>
      <w:pgSz w:w="11906" w:h="16838"/>
      <w:pgMar w:left="1418" w:right="851" w:header="709" w:top="766" w:footer="709" w:bottom="766"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7690306"/>
    </w:sdtPr>
    <w:sdtContent>
      <w:p>
        <w:pPr>
          <w:pStyle w:val="Style25"/>
          <w:jc w:val="right"/>
          <w:rPr/>
        </w:pPr>
        <w:r>
          <w:rPr/>
          <w:fldChar w:fldCharType="begin"/>
        </w:r>
        <w:r>
          <w:rPr/>
          <w:instrText> PAGE </w:instrText>
        </w:r>
        <w:r>
          <w:rPr/>
          <w:fldChar w:fldCharType="separate"/>
        </w:r>
        <w:r>
          <w:rPr/>
          <w:t>6</w:t>
        </w:r>
        <w:r>
          <w:rPr/>
          <w:fldChar w:fldCharType="end"/>
        </w:r>
      </w:p>
    </w:sdtContent>
  </w:sdt>
  <w:p>
    <w:pPr>
      <w:pStyle w:val="Style25"/>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83636071"/>
    </w:sdtPr>
    <w:sdtContent>
      <w:p>
        <w:pPr>
          <w:pStyle w:val="Style25"/>
          <w:jc w:val="right"/>
          <w:rPr/>
        </w:pPr>
        <w:r>
          <w:rPr/>
          <w:fldChar w:fldCharType="begin"/>
        </w:r>
        <w:r>
          <w:rPr/>
          <w:instrText> PAGE </w:instrText>
        </w:r>
        <w:r>
          <w:rPr/>
          <w:fldChar w:fldCharType="separate"/>
        </w:r>
        <w:r>
          <w:rPr/>
          <w:t>9</w:t>
        </w:r>
        <w:r>
          <w:rPr/>
          <w:fldChar w:fldCharType="end"/>
        </w:r>
      </w:p>
    </w:sdtContent>
  </w:sdt>
  <w:p>
    <w:pPr>
      <w:pStyle w:val="Style25"/>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6502962"/>
    </w:sdtPr>
    <w:sdtContent>
      <w:p>
        <w:pPr>
          <w:pStyle w:val="Style25"/>
          <w:jc w:val="right"/>
          <w:rPr/>
        </w:pPr>
        <w:r>
          <w:rPr/>
          <w:fldChar w:fldCharType="begin"/>
        </w:r>
        <w:r>
          <w:rPr/>
          <w:instrText> PAGE </w:instrText>
        </w:r>
        <w:r>
          <w:rPr/>
          <w:fldChar w:fldCharType="separate"/>
        </w:r>
        <w:r>
          <w:rPr/>
          <w:t>26</w:t>
        </w:r>
        <w:r>
          <w:rPr/>
          <w:fldChar w:fldCharType="end"/>
        </w:r>
      </w:p>
    </w:sdtContent>
  </w:sdt>
  <w:p>
    <w:pPr>
      <w:pStyle w:val="Style25"/>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73c97"/>
    <w:pPr>
      <w:widowControl/>
      <w:suppressAutoHyphens w:val="true"/>
      <w:bidi w:val="0"/>
      <w:spacing w:lineRule="auto" w:line="276" w:before="0" w:after="200"/>
      <w:jc w:val="left"/>
    </w:pPr>
    <w:rPr>
      <w:rFonts w:ascii="Calibri" w:hAnsi="Calibri" w:cs="Calibri" w:eastAsia="Calibri"/>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link w:val="a3"/>
    <w:uiPriority w:val="99"/>
    <w:qFormat/>
    <w:locked/>
    <w:rsid w:val="00d73c97"/>
    <w:rPr>
      <w:rFonts w:ascii="Calibri" w:hAnsi="Calibri" w:cs="Calibri"/>
      <w:sz w:val="22"/>
      <w:szCs w:val="22"/>
    </w:rPr>
  </w:style>
  <w:style w:type="character" w:styleId="Style15" w:customStyle="1">
    <w:name w:val="Текст выноски Знак"/>
    <w:link w:val="a5"/>
    <w:uiPriority w:val="99"/>
    <w:semiHidden/>
    <w:qFormat/>
    <w:locked/>
    <w:rsid w:val="00bd7343"/>
    <w:rPr>
      <w:rFonts w:ascii="Tahoma" w:hAnsi="Tahoma" w:cs="Tahoma"/>
      <w:sz w:val="16"/>
      <w:szCs w:val="16"/>
    </w:rPr>
  </w:style>
  <w:style w:type="character" w:styleId="Pagenumber">
    <w:name w:val="page number"/>
    <w:basedOn w:val="DefaultParagraphFont"/>
    <w:uiPriority w:val="99"/>
    <w:qFormat/>
    <w:rsid w:val="00a67731"/>
    <w:rPr/>
  </w:style>
  <w:style w:type="character" w:styleId="Style16" w:customStyle="1">
    <w:name w:val="Верхний колонтитул Знак"/>
    <w:link w:val="a8"/>
    <w:uiPriority w:val="99"/>
    <w:semiHidden/>
    <w:qFormat/>
    <w:locked/>
    <w:rsid w:val="00fa65d1"/>
    <w:rPr>
      <w:rFonts w:ascii="Calibri" w:hAnsi="Calibri" w:cs="Calibri"/>
      <w:lang w:eastAsia="en-US"/>
    </w:rPr>
  </w:style>
  <w:style w:type="character" w:styleId="Style17" w:customStyle="1">
    <w:name w:val="Текст Знак"/>
    <w:link w:val="aa"/>
    <w:uiPriority w:val="99"/>
    <w:qFormat/>
    <w:locked/>
    <w:rsid w:val="00b5065e"/>
    <w:rPr>
      <w:rFonts w:ascii="Courier New" w:hAnsi="Courier New" w:cs="Courier New"/>
      <w:sz w:val="20"/>
      <w:szCs w:val="20"/>
    </w:rPr>
  </w:style>
  <w:style w:type="character" w:styleId="Extendedtextshort" w:customStyle="1">
    <w:name w:val="extended-text__short"/>
    <w:basedOn w:val="DefaultParagraphFont"/>
    <w:qFormat/>
    <w:rsid w:val="0020578d"/>
    <w:rPr/>
  </w:style>
  <w:style w:type="character" w:styleId="Style18">
    <w:name w:val="Интернет-ссылка"/>
    <w:basedOn w:val="DefaultParagraphFont"/>
    <w:uiPriority w:val="99"/>
    <w:semiHidden/>
    <w:unhideWhenUsed/>
    <w:rsid w:val="0020578d"/>
    <w:rPr>
      <w:color w:val="0000FF"/>
      <w:u w:val="singl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onsPlusNormal" w:customStyle="1">
    <w:name w:val="ConsPlusNormal"/>
    <w:qFormat/>
    <w:rsid w:val="00d73c97"/>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qFormat/>
    <w:rsid w:val="00d73c9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Footer"/>
    <w:basedOn w:val="Normal"/>
    <w:link w:val="a4"/>
    <w:uiPriority w:val="99"/>
    <w:rsid w:val="00d73c97"/>
    <w:pPr>
      <w:tabs>
        <w:tab w:val="clear" w:pos="708"/>
        <w:tab w:val="center" w:pos="4677" w:leader="none"/>
        <w:tab w:val="right" w:pos="9355" w:leader="none"/>
      </w:tabs>
    </w:pPr>
    <w:rPr>
      <w:rFonts w:cs="Times New Roman"/>
    </w:rPr>
  </w:style>
  <w:style w:type="paragraph" w:styleId="BalloonText">
    <w:name w:val="Balloon Text"/>
    <w:basedOn w:val="Normal"/>
    <w:link w:val="a6"/>
    <w:uiPriority w:val="99"/>
    <w:semiHidden/>
    <w:qFormat/>
    <w:rsid w:val="00bd7343"/>
    <w:pPr>
      <w:spacing w:lineRule="auto" w:line="240" w:before="0" w:after="0"/>
    </w:pPr>
    <w:rPr>
      <w:rFonts w:ascii="Tahoma" w:hAnsi="Tahoma" w:cs="Times New Roman"/>
      <w:sz w:val="16"/>
      <w:szCs w:val="16"/>
    </w:rPr>
  </w:style>
  <w:style w:type="paragraph" w:styleId="Style26">
    <w:name w:val="Header"/>
    <w:basedOn w:val="Normal"/>
    <w:link w:val="a9"/>
    <w:uiPriority w:val="99"/>
    <w:semiHidden/>
    <w:rsid w:val="00fa65d1"/>
    <w:pPr>
      <w:tabs>
        <w:tab w:val="clear" w:pos="708"/>
        <w:tab w:val="center" w:pos="4677" w:leader="none"/>
        <w:tab w:val="right" w:pos="9355" w:leader="none"/>
      </w:tabs>
    </w:pPr>
    <w:rPr>
      <w:rFonts w:cs="Times New Roman"/>
      <w:sz w:val="20"/>
      <w:szCs w:val="20"/>
    </w:rPr>
  </w:style>
  <w:style w:type="paragraph" w:styleId="PlainText">
    <w:name w:val="Plain Text"/>
    <w:basedOn w:val="Normal"/>
    <w:link w:val="ab"/>
    <w:uiPriority w:val="99"/>
    <w:qFormat/>
    <w:rsid w:val="00b5065e"/>
    <w:pPr>
      <w:spacing w:lineRule="auto" w:line="240" w:before="0" w:after="0"/>
    </w:pPr>
    <w:rPr>
      <w:rFonts w:ascii="Courier New" w:hAnsi="Courier New" w:cs="Times New Roman"/>
      <w:sz w:val="20"/>
      <w:szCs w:val="20"/>
    </w:rPr>
  </w:style>
  <w:style w:type="paragraph" w:styleId="NormalWeb">
    <w:name w:val="Normal (Web)"/>
    <w:basedOn w:val="Normal"/>
    <w:semiHidden/>
    <w:unhideWhenUsed/>
    <w:qFormat/>
    <w:rsid w:val="0020578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9079f9"/>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AFCE9B77701A9325510AA539851368AFC48C351E3F7DEFB175BD02CBE503E2C59FA6A51EA0CD94A53k4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yperlink" Target="consultantplus://offline/main?base=LAW;n=111900;fld=134"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AD2F7-0B20-4885-86E0-BD405A47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Application>LibreOffice/7.0.4.2$Windows_X86_64 LibreOffice_project/dcf040e67528d9187c66b2379df5ea4407429775</Application>
  <AppVersion>15.0000</AppVersion>
  <Pages>26</Pages>
  <Words>4273</Words>
  <Characters>30010</Characters>
  <CharactersWithSpaces>35498</CharactersWithSpaces>
  <Paragraphs>811</Paragraphs>
  <Company>GKMX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2021-09-21T11:52:00Z</dcterms:created>
  <dc:creator>User</dc:creator>
  <dc:description/>
  <dc:language>ru-RU</dc:language>
  <cp:lastModifiedBy/>
  <cp:lastPrinted>2022-01-12T06:05:00Z</cp:lastPrinted>
  <dcterms:modified xsi:type="dcterms:W3CDTF">2022-10-07T17:14:32Z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